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A9" w:rsidRDefault="004A48A9" w:rsidP="004A48A9">
      <w:pPr>
        <w:rPr>
          <w:color w:val="1F497D"/>
          <w:lang w:val="en-US"/>
        </w:rPr>
      </w:pPr>
    </w:p>
    <w:p w:rsidR="004A48A9" w:rsidRDefault="004A48A9" w:rsidP="004A48A9">
      <w:pPr>
        <w:rPr>
          <w:color w:val="1F497D"/>
          <w:lang w:val="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4A48A9" w:rsidTr="004A48A9">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8466"/>
              <w:gridCol w:w="6"/>
            </w:tblGrid>
            <w:tr w:rsidR="004A48A9">
              <w:trPr>
                <w:tblCellSpacing w:w="0" w:type="dxa"/>
              </w:trPr>
              <w:tc>
                <w:tcPr>
                  <w:tcW w:w="8205" w:type="dxa"/>
                  <w:vAlign w:val="center"/>
                  <w:hideMark/>
                </w:tcPr>
                <w:p w:rsidR="004A48A9" w:rsidRDefault="004A48A9">
                  <w:pPr>
                    <w:spacing w:line="276" w:lineRule="auto"/>
                    <w:jc w:val="right"/>
                    <w:rPr>
                      <w:lang w:val="en-GB"/>
                    </w:rPr>
                  </w:pPr>
                  <w:r>
                    <w:rPr>
                      <w:noProof/>
                      <w:lang w:eastAsia="nl-NL"/>
                    </w:rPr>
                    <w:drawing>
                      <wp:inline distT="0" distB="0" distL="0" distR="0">
                        <wp:extent cx="5762625" cy="666750"/>
                        <wp:effectExtent l="0" t="0" r="9525" b="0"/>
                        <wp:docPr id="1" name="Afbeelding 1" descr="cid:image002.jpg@01CF62DC.2FE02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62DC.2FE026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4A48A9" w:rsidRDefault="004A48A9">
                  <w:pPr>
                    <w:spacing w:line="276" w:lineRule="auto"/>
                    <w:jc w:val="right"/>
                    <w:rPr>
                      <w:color w:val="ACABAB"/>
                      <w:lang w:val="en-GB"/>
                    </w:rPr>
                  </w:pPr>
                </w:p>
                <w:p w:rsidR="004A48A9" w:rsidRDefault="004A48A9">
                  <w:pPr>
                    <w:spacing w:line="276" w:lineRule="auto"/>
                    <w:jc w:val="right"/>
                    <w:rPr>
                      <w:color w:val="ACABAB"/>
                      <w:lang w:val="en-GB"/>
                    </w:rPr>
                  </w:pPr>
                </w:p>
              </w:tc>
            </w:tr>
          </w:tbl>
          <w:p w:rsidR="004A48A9" w:rsidRDefault="004A48A9">
            <w:pPr>
              <w:spacing w:line="276" w:lineRule="auto"/>
              <w:rPr>
                <w:b/>
                <w:bCs/>
                <w:sz w:val="20"/>
                <w:szCs w:val="20"/>
                <w:lang w:val="en-GB"/>
              </w:rPr>
            </w:pPr>
            <w:r>
              <w:rPr>
                <w:b/>
                <w:bCs/>
                <w:sz w:val="20"/>
                <w:szCs w:val="20"/>
                <w:lang w:val="en-GB"/>
              </w:rPr>
              <w:t>Fiscal Committee</w:t>
            </w:r>
          </w:p>
          <w:p w:rsidR="004A48A9" w:rsidRDefault="004A48A9">
            <w:pPr>
              <w:spacing w:line="276" w:lineRule="auto"/>
              <w:jc w:val="right"/>
              <w:rPr>
                <w:b/>
                <w:bCs/>
                <w:sz w:val="20"/>
                <w:szCs w:val="20"/>
                <w:lang w:val="en-GB"/>
              </w:rPr>
            </w:pPr>
            <w:r>
              <w:rPr>
                <w:b/>
                <w:bCs/>
                <w:sz w:val="20"/>
                <w:szCs w:val="20"/>
                <w:lang w:val="en-GB"/>
              </w:rPr>
              <w:t>28 April 2014</w:t>
            </w:r>
          </w:p>
          <w:p w:rsidR="004A48A9" w:rsidRDefault="004A48A9">
            <w:pPr>
              <w:pStyle w:val="Lijstalinea"/>
              <w:spacing w:line="276" w:lineRule="auto"/>
              <w:ind w:left="0"/>
              <w:jc w:val="both"/>
              <w:rPr>
                <w:sz w:val="20"/>
                <w:szCs w:val="20"/>
                <w:lang w:val="en-GB" w:eastAsia="en-US"/>
              </w:rPr>
            </w:pPr>
          </w:p>
          <w:p w:rsidR="004A48A9" w:rsidRDefault="004A48A9">
            <w:pPr>
              <w:pStyle w:val="Lijstalinea"/>
              <w:spacing w:line="276" w:lineRule="auto"/>
              <w:ind w:left="0"/>
              <w:jc w:val="both"/>
              <w:rPr>
                <w:sz w:val="20"/>
                <w:szCs w:val="20"/>
                <w:lang w:val="en-GB" w:eastAsia="en-US"/>
              </w:rPr>
            </w:pPr>
          </w:p>
          <w:p w:rsidR="004A48A9" w:rsidRDefault="004A48A9" w:rsidP="006E4AB9">
            <w:pPr>
              <w:pStyle w:val="Lijstalinea"/>
              <w:numPr>
                <w:ilvl w:val="0"/>
                <w:numId w:val="1"/>
              </w:numPr>
              <w:spacing w:line="276" w:lineRule="auto"/>
              <w:ind w:left="267" w:hanging="283"/>
              <w:jc w:val="both"/>
              <w:rPr>
                <w:b/>
                <w:bCs/>
                <w:sz w:val="20"/>
                <w:szCs w:val="20"/>
                <w:lang w:val="en-GB" w:eastAsia="en-US"/>
              </w:rPr>
            </w:pPr>
            <w:r>
              <w:rPr>
                <w:b/>
                <w:bCs/>
                <w:sz w:val="20"/>
                <w:szCs w:val="20"/>
                <w:lang w:val="en-GB" w:eastAsia="en-US"/>
              </w:rPr>
              <w:t>OECD public consultation meetings on BEPS Actions 1, 6 and 13</w:t>
            </w:r>
          </w:p>
          <w:p w:rsidR="004A48A9" w:rsidRDefault="004A48A9">
            <w:pPr>
              <w:pStyle w:val="Lijstalinea"/>
              <w:spacing w:line="276" w:lineRule="auto"/>
              <w:jc w:val="both"/>
              <w:rPr>
                <w:b/>
                <w:bCs/>
                <w:sz w:val="20"/>
                <w:szCs w:val="20"/>
                <w:lang w:val="en-GB" w:eastAsia="en-US"/>
              </w:rPr>
            </w:pPr>
          </w:p>
          <w:p w:rsidR="004A48A9" w:rsidRDefault="004A48A9">
            <w:pPr>
              <w:pStyle w:val="Lijstalinea"/>
              <w:spacing w:line="276" w:lineRule="auto"/>
              <w:ind w:left="0"/>
              <w:jc w:val="both"/>
              <w:rPr>
                <w:sz w:val="20"/>
                <w:szCs w:val="20"/>
                <w:lang w:val="en-GB" w:eastAsia="en-US"/>
              </w:rPr>
            </w:pPr>
            <w:r>
              <w:rPr>
                <w:sz w:val="20"/>
                <w:szCs w:val="20"/>
                <w:lang w:val="en-GB" w:eastAsia="en-US"/>
              </w:rPr>
              <w:t>Recordings of the OECD public consultation meetings on BEPS Actions 1 (tax challenges of the digital economy) on 14/15 April and on BEPS Action 6 (preventing treaty abuse) on 23 April 2014, are now available online.</w:t>
            </w:r>
          </w:p>
          <w:p w:rsidR="004A48A9" w:rsidRDefault="004A48A9">
            <w:pPr>
              <w:pStyle w:val="Lijstalinea"/>
              <w:spacing w:line="276" w:lineRule="auto"/>
              <w:ind w:left="0"/>
              <w:jc w:val="both"/>
              <w:rPr>
                <w:sz w:val="20"/>
                <w:szCs w:val="20"/>
                <w:lang w:val="en-GB" w:eastAsia="en-US"/>
              </w:rPr>
            </w:pPr>
            <w:r>
              <w:rPr>
                <w:sz w:val="20"/>
                <w:szCs w:val="20"/>
                <w:lang w:val="en-GB" w:eastAsia="en-US"/>
              </w:rPr>
              <w:t>A public consultation meeting on transfer pricing documentation and country-by-country reporting (BEPS Action 13) will be held on 19 May 2014. Registration is possible until 9 May.</w:t>
            </w:r>
          </w:p>
          <w:p w:rsidR="004A48A9" w:rsidRDefault="004A48A9">
            <w:pPr>
              <w:pStyle w:val="Lijstalinea"/>
              <w:spacing w:line="276" w:lineRule="auto"/>
              <w:ind w:left="0"/>
              <w:jc w:val="both"/>
              <w:rPr>
                <w:sz w:val="20"/>
                <w:szCs w:val="20"/>
                <w:lang w:val="en-GB" w:eastAsia="en-US"/>
              </w:rPr>
            </w:pPr>
          </w:p>
          <w:p w:rsidR="004A48A9" w:rsidRDefault="004A48A9" w:rsidP="006E4AB9">
            <w:pPr>
              <w:pStyle w:val="Lijstalinea"/>
              <w:numPr>
                <w:ilvl w:val="0"/>
                <w:numId w:val="2"/>
              </w:numPr>
              <w:spacing w:line="276" w:lineRule="auto"/>
              <w:jc w:val="both"/>
              <w:rPr>
                <w:rStyle w:val="Hyperlink"/>
              </w:rPr>
            </w:pPr>
            <w:hyperlink r:id="rId7" w:history="1">
              <w:r>
                <w:rPr>
                  <w:rStyle w:val="Hyperlink"/>
                  <w:sz w:val="20"/>
                  <w:szCs w:val="20"/>
                  <w:lang w:eastAsia="en-US"/>
                </w:rPr>
                <w:t>OECD video</w:t>
              </w:r>
            </w:hyperlink>
          </w:p>
          <w:p w:rsidR="004A48A9" w:rsidRDefault="004A48A9" w:rsidP="006E4AB9">
            <w:pPr>
              <w:pStyle w:val="Lijstalinea"/>
              <w:numPr>
                <w:ilvl w:val="0"/>
                <w:numId w:val="2"/>
              </w:numPr>
              <w:spacing w:line="276" w:lineRule="auto"/>
              <w:jc w:val="both"/>
              <w:rPr>
                <w:lang w:val="en-GB"/>
              </w:rPr>
            </w:pPr>
            <w:hyperlink r:id="rId8" w:history="1">
              <w:r>
                <w:rPr>
                  <w:rStyle w:val="Hyperlink"/>
                  <w:sz w:val="20"/>
                  <w:szCs w:val="20"/>
                  <w:lang w:val="en-GB" w:eastAsia="en-US"/>
                </w:rPr>
                <w:t>Registration for 19 May public consultation</w:t>
              </w:r>
            </w:hyperlink>
          </w:p>
          <w:p w:rsidR="004A48A9" w:rsidRDefault="004A48A9">
            <w:pPr>
              <w:spacing w:line="276" w:lineRule="auto"/>
              <w:jc w:val="both"/>
              <w:rPr>
                <w:b/>
                <w:bCs/>
                <w:sz w:val="20"/>
                <w:szCs w:val="20"/>
                <w:lang w:val="en-GB"/>
              </w:rPr>
            </w:pPr>
          </w:p>
          <w:p w:rsidR="004A48A9" w:rsidRDefault="004A48A9">
            <w:pPr>
              <w:autoSpaceDE w:val="0"/>
              <w:autoSpaceDN w:val="0"/>
              <w:spacing w:line="276" w:lineRule="auto"/>
              <w:jc w:val="both"/>
              <w:rPr>
                <w:b/>
                <w:bCs/>
                <w:color w:val="222222"/>
                <w:sz w:val="20"/>
                <w:szCs w:val="20"/>
                <w:lang w:val="en-GB"/>
              </w:rPr>
            </w:pPr>
            <w:r>
              <w:rPr>
                <w:b/>
                <w:bCs/>
                <w:color w:val="222222"/>
                <w:sz w:val="20"/>
                <w:szCs w:val="20"/>
                <w:lang w:val="en-GB"/>
              </w:rPr>
              <w:t>2-  OECD Global Forum issues 12 new transparency reports</w:t>
            </w:r>
          </w:p>
          <w:p w:rsidR="004A48A9" w:rsidRDefault="004A48A9">
            <w:pPr>
              <w:spacing w:line="276" w:lineRule="auto"/>
              <w:jc w:val="both"/>
              <w:rPr>
                <w:sz w:val="20"/>
                <w:szCs w:val="20"/>
                <w:lang w:val="en-GB"/>
              </w:rPr>
            </w:pPr>
          </w:p>
          <w:p w:rsidR="004A48A9" w:rsidRDefault="004A48A9">
            <w:pPr>
              <w:spacing w:line="276" w:lineRule="auto"/>
              <w:jc w:val="both"/>
              <w:rPr>
                <w:sz w:val="20"/>
                <w:szCs w:val="20"/>
                <w:lang w:val="en-GB"/>
              </w:rPr>
            </w:pPr>
            <w:r>
              <w:rPr>
                <w:sz w:val="20"/>
                <w:szCs w:val="20"/>
                <w:lang w:val="en-GB"/>
              </w:rPr>
              <w:t>On 24 April 2014, the Global Forum on Transparency and Exchange of Information for Tax Purposes issued 12 new reports to assess the extent to which jurisdictions have implemented the international standard for exchange of information on request in their legal framework (phase 1 reviews) and practice (phase 2 reviews). The new reports include 3 EU member states, Latvia (phase 1), Slovakia and Slovenia (both phase 2), bringing the total number of jurisdictions assessed to 132 (phase 1) / 54 (phases 1 + 2).</w:t>
            </w:r>
          </w:p>
          <w:p w:rsidR="004A48A9" w:rsidRDefault="004A48A9">
            <w:pPr>
              <w:spacing w:line="276" w:lineRule="auto"/>
              <w:jc w:val="both"/>
              <w:rPr>
                <w:sz w:val="20"/>
                <w:szCs w:val="20"/>
                <w:lang w:val="en-GB"/>
              </w:rPr>
            </w:pPr>
          </w:p>
          <w:p w:rsidR="004A48A9" w:rsidRDefault="004A48A9" w:rsidP="006E4AB9">
            <w:pPr>
              <w:pStyle w:val="Lijstalinea"/>
              <w:numPr>
                <w:ilvl w:val="0"/>
                <w:numId w:val="3"/>
              </w:numPr>
              <w:spacing w:line="276" w:lineRule="auto"/>
              <w:jc w:val="both"/>
              <w:rPr>
                <w:sz w:val="20"/>
                <w:szCs w:val="20"/>
                <w:lang w:val="en-GB" w:eastAsia="en-US"/>
              </w:rPr>
            </w:pPr>
            <w:hyperlink r:id="rId9" w:history="1">
              <w:r>
                <w:rPr>
                  <w:rStyle w:val="Hyperlink"/>
                  <w:sz w:val="20"/>
                  <w:szCs w:val="20"/>
                  <w:lang w:val="en-GB" w:eastAsia="en-US"/>
                </w:rPr>
                <w:t>OECD News release</w:t>
              </w:r>
            </w:hyperlink>
            <w:r>
              <w:rPr>
                <w:sz w:val="20"/>
                <w:szCs w:val="20"/>
                <w:lang w:eastAsia="en-US"/>
              </w:rPr>
              <w:t xml:space="preserve"> </w:t>
            </w:r>
          </w:p>
          <w:p w:rsidR="004A48A9" w:rsidRDefault="004A48A9">
            <w:pPr>
              <w:pStyle w:val="Lijstalinea"/>
              <w:spacing w:line="276" w:lineRule="auto"/>
              <w:jc w:val="both"/>
              <w:rPr>
                <w:sz w:val="20"/>
                <w:szCs w:val="20"/>
                <w:lang w:val="en-GB" w:eastAsia="en-US"/>
              </w:rPr>
            </w:pPr>
          </w:p>
          <w:p w:rsidR="004A48A9" w:rsidRDefault="004A48A9">
            <w:pPr>
              <w:spacing w:line="276" w:lineRule="auto"/>
              <w:jc w:val="both"/>
              <w:rPr>
                <w:b/>
                <w:bCs/>
                <w:sz w:val="20"/>
                <w:szCs w:val="20"/>
                <w:lang w:val="en-GB"/>
              </w:rPr>
            </w:pPr>
            <w:r>
              <w:rPr>
                <w:b/>
                <w:bCs/>
                <w:sz w:val="20"/>
                <w:szCs w:val="20"/>
                <w:lang w:val="en-GB"/>
              </w:rPr>
              <w:t>3- Registration for Luxembourg VAT conference open</w:t>
            </w:r>
          </w:p>
          <w:p w:rsidR="004A48A9" w:rsidRDefault="004A48A9">
            <w:pPr>
              <w:spacing w:line="276" w:lineRule="auto"/>
              <w:jc w:val="both"/>
              <w:rPr>
                <w:b/>
                <w:bCs/>
                <w:sz w:val="20"/>
                <w:szCs w:val="20"/>
                <w:lang w:val="en-GB"/>
              </w:rPr>
            </w:pPr>
          </w:p>
          <w:p w:rsidR="004A48A9" w:rsidRDefault="004A48A9">
            <w:pPr>
              <w:spacing w:line="276" w:lineRule="auto"/>
              <w:jc w:val="both"/>
              <w:rPr>
                <w:sz w:val="20"/>
                <w:szCs w:val="20"/>
                <w:lang w:val="en-GB"/>
              </w:rPr>
            </w:pPr>
            <w:r>
              <w:rPr>
                <w:sz w:val="20"/>
                <w:szCs w:val="20"/>
                <w:lang w:val="en-GB"/>
              </w:rPr>
              <w:t>Registration for the conference on the 2015 VAT changes (mini-one-stop-shop for e-services, telecom and broadcasting), hosted by the European Commission and the Luxembourg Chamber of Commerce on 15 May 2014, is now open. Participation is free of charge.</w:t>
            </w:r>
          </w:p>
          <w:p w:rsidR="004A48A9" w:rsidRDefault="004A48A9">
            <w:pPr>
              <w:spacing w:line="276" w:lineRule="auto"/>
              <w:jc w:val="both"/>
              <w:rPr>
                <w:sz w:val="20"/>
                <w:szCs w:val="20"/>
                <w:lang w:val="en-GB"/>
              </w:rPr>
            </w:pPr>
          </w:p>
          <w:p w:rsidR="004A48A9" w:rsidRDefault="004A48A9" w:rsidP="006E4AB9">
            <w:pPr>
              <w:pStyle w:val="Lijstalinea"/>
              <w:numPr>
                <w:ilvl w:val="0"/>
                <w:numId w:val="3"/>
              </w:numPr>
              <w:spacing w:line="276" w:lineRule="auto"/>
              <w:jc w:val="both"/>
              <w:rPr>
                <w:sz w:val="20"/>
                <w:szCs w:val="20"/>
                <w:lang w:val="en-GB" w:eastAsia="en-US"/>
              </w:rPr>
            </w:pPr>
            <w:hyperlink r:id="rId10" w:history="1">
              <w:r>
                <w:rPr>
                  <w:rStyle w:val="Hyperlink"/>
                  <w:sz w:val="20"/>
                  <w:szCs w:val="20"/>
                  <w:lang w:val="en-GB" w:eastAsia="en-US"/>
                </w:rPr>
                <w:t>Registration</w:t>
              </w:r>
            </w:hyperlink>
          </w:p>
          <w:p w:rsidR="004A48A9" w:rsidRDefault="004A48A9" w:rsidP="006E4AB9">
            <w:pPr>
              <w:pStyle w:val="Lijstalinea"/>
              <w:numPr>
                <w:ilvl w:val="0"/>
                <w:numId w:val="3"/>
              </w:numPr>
              <w:spacing w:line="276" w:lineRule="auto"/>
              <w:jc w:val="both"/>
              <w:rPr>
                <w:sz w:val="20"/>
                <w:szCs w:val="20"/>
                <w:lang w:val="en-GB" w:eastAsia="en-US"/>
              </w:rPr>
            </w:pPr>
            <w:hyperlink r:id="rId11" w:history="1">
              <w:r>
                <w:rPr>
                  <w:rStyle w:val="Hyperlink"/>
                  <w:sz w:val="20"/>
                  <w:szCs w:val="20"/>
                  <w:lang w:val="en-GB" w:eastAsia="en-US"/>
                </w:rPr>
                <w:t>Programme flyer</w:t>
              </w:r>
            </w:hyperlink>
          </w:p>
          <w:p w:rsidR="004A48A9" w:rsidRDefault="004A48A9">
            <w:pPr>
              <w:spacing w:line="276" w:lineRule="auto"/>
              <w:jc w:val="both"/>
              <w:rPr>
                <w:sz w:val="20"/>
                <w:szCs w:val="20"/>
                <w:lang w:val="en-GB"/>
              </w:rPr>
            </w:pPr>
          </w:p>
          <w:p w:rsidR="004A48A9" w:rsidRDefault="004A48A9">
            <w:pPr>
              <w:spacing w:line="276" w:lineRule="auto"/>
              <w:jc w:val="both"/>
              <w:rPr>
                <w:b/>
                <w:bCs/>
                <w:sz w:val="20"/>
                <w:szCs w:val="20"/>
                <w:lang w:val="en-GB"/>
              </w:rPr>
            </w:pPr>
            <w:r>
              <w:rPr>
                <w:b/>
                <w:bCs/>
                <w:sz w:val="20"/>
                <w:szCs w:val="20"/>
                <w:lang w:val="en-GB"/>
              </w:rPr>
              <w:t xml:space="preserve">4- Article on the Parent-Subsidiary proposal </w:t>
            </w:r>
          </w:p>
          <w:p w:rsidR="004A48A9" w:rsidRDefault="004A48A9">
            <w:pPr>
              <w:spacing w:line="276" w:lineRule="auto"/>
              <w:jc w:val="both"/>
              <w:rPr>
                <w:b/>
                <w:bCs/>
                <w:sz w:val="20"/>
                <w:szCs w:val="20"/>
                <w:lang w:val="en-GB"/>
              </w:rPr>
            </w:pPr>
            <w:r>
              <w:rPr>
                <w:b/>
                <w:bCs/>
                <w:sz w:val="20"/>
                <w:szCs w:val="20"/>
                <w:lang w:val="en-GB"/>
              </w:rPr>
              <w:t> </w:t>
            </w:r>
          </w:p>
          <w:p w:rsidR="004A48A9" w:rsidRDefault="004A48A9">
            <w:pPr>
              <w:spacing w:line="276" w:lineRule="auto"/>
              <w:jc w:val="both"/>
              <w:rPr>
                <w:sz w:val="20"/>
                <w:szCs w:val="20"/>
                <w:lang w:val="en-GB"/>
              </w:rPr>
            </w:pPr>
            <w:r>
              <w:rPr>
                <w:sz w:val="20"/>
                <w:szCs w:val="20"/>
                <w:lang w:val="en-GB"/>
              </w:rPr>
              <w:t xml:space="preserve">Members of the CFE Fiscal Committee will receive attached the article by </w:t>
            </w:r>
            <w:proofErr w:type="spellStart"/>
            <w:r>
              <w:rPr>
                <w:sz w:val="20"/>
                <w:szCs w:val="20"/>
                <w:lang w:val="en-GB"/>
              </w:rPr>
              <w:t>Christoph</w:t>
            </w:r>
            <w:proofErr w:type="spellEnd"/>
            <w:r>
              <w:rPr>
                <w:sz w:val="20"/>
                <w:szCs w:val="20"/>
                <w:lang w:val="en-GB"/>
              </w:rPr>
              <w:t xml:space="preserve"> </w:t>
            </w:r>
            <w:proofErr w:type="spellStart"/>
            <w:r>
              <w:rPr>
                <w:sz w:val="20"/>
                <w:szCs w:val="20"/>
                <w:lang w:val="en-GB"/>
              </w:rPr>
              <w:t>Marchgraber</w:t>
            </w:r>
            <w:proofErr w:type="spellEnd"/>
            <w:r>
              <w:rPr>
                <w:sz w:val="20"/>
                <w:szCs w:val="20"/>
                <w:lang w:val="en-GB"/>
              </w:rPr>
              <w:t>  “Tacking deduction and non-inclusion schemes – the proposal of the European Commission” from European Taxation, April 2014, on the proposal for a revision of the Parent-Subsidiary Directive.</w:t>
            </w:r>
          </w:p>
          <w:p w:rsidR="004A48A9" w:rsidRDefault="004A48A9">
            <w:pPr>
              <w:spacing w:line="276" w:lineRule="auto"/>
              <w:jc w:val="both"/>
              <w:rPr>
                <w:sz w:val="20"/>
                <w:szCs w:val="20"/>
                <w:lang w:val="en-GB"/>
              </w:rPr>
            </w:pPr>
          </w:p>
          <w:p w:rsidR="004A48A9" w:rsidRDefault="004A48A9">
            <w:pPr>
              <w:spacing w:line="276" w:lineRule="auto"/>
              <w:jc w:val="both"/>
              <w:rPr>
                <w:sz w:val="20"/>
                <w:szCs w:val="20"/>
                <w:lang w:val="en-GB"/>
              </w:rPr>
            </w:pPr>
          </w:p>
          <w:p w:rsidR="004A48A9" w:rsidRDefault="004A48A9">
            <w:pPr>
              <w:spacing w:line="276" w:lineRule="auto"/>
              <w:jc w:val="both"/>
              <w:rPr>
                <w:b/>
                <w:bCs/>
                <w:sz w:val="20"/>
                <w:szCs w:val="20"/>
                <w:lang w:val="en-GB"/>
              </w:rPr>
            </w:pPr>
            <w:r>
              <w:rPr>
                <w:b/>
                <w:bCs/>
                <w:sz w:val="20"/>
                <w:szCs w:val="20"/>
                <w:lang w:val="en-GB"/>
              </w:rPr>
              <w:t>5- E-versions of the 2010-2013 CFE Forum Reports available</w:t>
            </w:r>
          </w:p>
          <w:p w:rsidR="004A48A9" w:rsidRDefault="004A48A9">
            <w:pPr>
              <w:spacing w:line="276" w:lineRule="auto"/>
              <w:jc w:val="both"/>
              <w:rPr>
                <w:b/>
                <w:bCs/>
                <w:sz w:val="20"/>
                <w:szCs w:val="20"/>
                <w:lang w:val="en-GB"/>
              </w:rPr>
            </w:pPr>
          </w:p>
          <w:p w:rsidR="004A48A9" w:rsidRDefault="004A48A9">
            <w:pPr>
              <w:spacing w:line="276" w:lineRule="auto"/>
              <w:jc w:val="both"/>
              <w:rPr>
                <w:sz w:val="20"/>
                <w:szCs w:val="20"/>
                <w:lang w:val="en-GB"/>
              </w:rPr>
            </w:pPr>
            <w:r>
              <w:rPr>
                <w:sz w:val="20"/>
                <w:szCs w:val="20"/>
                <w:lang w:val="en-GB"/>
              </w:rPr>
              <w:t xml:space="preserve">The CFE Forum Reports on European Taxation contain contributions related to the topics of the CFE Forums, provided by Forum speaker and other authors, edited by </w:t>
            </w:r>
            <w:proofErr w:type="spellStart"/>
            <w:r>
              <w:rPr>
                <w:sz w:val="20"/>
                <w:szCs w:val="20"/>
                <w:lang w:val="en-GB"/>
              </w:rPr>
              <w:t>Servaas</w:t>
            </w:r>
            <w:proofErr w:type="spellEnd"/>
            <w:r>
              <w:rPr>
                <w:sz w:val="20"/>
                <w:szCs w:val="20"/>
                <w:lang w:val="en-GB"/>
              </w:rPr>
              <w:t xml:space="preserve"> van </w:t>
            </w:r>
            <w:proofErr w:type="spellStart"/>
            <w:r>
              <w:rPr>
                <w:sz w:val="20"/>
                <w:szCs w:val="20"/>
                <w:lang w:val="en-GB"/>
              </w:rPr>
              <w:t>Thiel</w:t>
            </w:r>
            <w:proofErr w:type="spellEnd"/>
            <w:r>
              <w:rPr>
                <w:sz w:val="20"/>
                <w:szCs w:val="20"/>
                <w:lang w:val="en-GB"/>
              </w:rPr>
              <w:t>.</w:t>
            </w:r>
          </w:p>
          <w:p w:rsidR="004A48A9" w:rsidRDefault="004A48A9">
            <w:pPr>
              <w:spacing w:line="276" w:lineRule="auto"/>
              <w:jc w:val="both"/>
              <w:rPr>
                <w:sz w:val="20"/>
                <w:szCs w:val="20"/>
                <w:lang w:val="en-GB"/>
              </w:rPr>
            </w:pPr>
          </w:p>
          <w:p w:rsidR="004A48A9" w:rsidRDefault="004A48A9" w:rsidP="006E4AB9">
            <w:pPr>
              <w:numPr>
                <w:ilvl w:val="0"/>
                <w:numId w:val="3"/>
              </w:numPr>
              <w:spacing w:line="276" w:lineRule="auto"/>
              <w:jc w:val="both"/>
              <w:rPr>
                <w:rStyle w:val="Hyperlink"/>
              </w:rPr>
            </w:pPr>
            <w:hyperlink r:id="rId12" w:history="1">
              <w:r>
                <w:rPr>
                  <w:rStyle w:val="Hyperlink"/>
                  <w:sz w:val="20"/>
                  <w:szCs w:val="20"/>
                  <w:lang w:val="en-GB"/>
                </w:rPr>
                <w:t>CFE Forum Reports</w:t>
              </w:r>
            </w:hyperlink>
          </w:p>
          <w:p w:rsidR="004A48A9" w:rsidRDefault="004A48A9">
            <w:pPr>
              <w:spacing w:line="276" w:lineRule="auto"/>
              <w:jc w:val="both"/>
            </w:pPr>
          </w:p>
          <w:p w:rsidR="004A48A9" w:rsidRDefault="004A48A9">
            <w:pPr>
              <w:spacing w:line="276" w:lineRule="auto"/>
              <w:jc w:val="center"/>
              <w:rPr>
                <w:sz w:val="20"/>
                <w:szCs w:val="20"/>
                <w:lang w:val="en-GB"/>
              </w:rPr>
            </w:pPr>
            <w:r>
              <w:rPr>
                <w:sz w:val="20"/>
                <w:szCs w:val="20"/>
                <w:lang w:val="en-GB"/>
              </w:rPr>
              <w:t>*****</w:t>
            </w:r>
          </w:p>
          <w:p w:rsidR="004A48A9" w:rsidRDefault="004A48A9">
            <w:pPr>
              <w:spacing w:line="276" w:lineRule="auto"/>
              <w:jc w:val="both"/>
              <w:rPr>
                <w:sz w:val="20"/>
                <w:szCs w:val="20"/>
                <w:lang w:val="en-GB"/>
              </w:rPr>
            </w:pPr>
          </w:p>
          <w:p w:rsidR="004A48A9" w:rsidRDefault="004A48A9">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4A48A9" w:rsidRDefault="004A48A9">
            <w:pPr>
              <w:pStyle w:val="Lijstalinea"/>
              <w:spacing w:line="276" w:lineRule="auto"/>
              <w:ind w:left="126"/>
              <w:jc w:val="center"/>
              <w:rPr>
                <w:i/>
                <w:iCs/>
                <w:sz w:val="20"/>
                <w:szCs w:val="20"/>
                <w:lang w:val="en-GB" w:eastAsia="en-US"/>
              </w:rPr>
            </w:pPr>
          </w:p>
          <w:p w:rsidR="004A48A9" w:rsidRDefault="004A48A9">
            <w:pPr>
              <w:pStyle w:val="Lijstalinea"/>
              <w:spacing w:line="276" w:lineRule="auto"/>
              <w:ind w:left="126"/>
              <w:jc w:val="center"/>
              <w:rPr>
                <w:i/>
                <w:iCs/>
                <w:lang w:val="en-GB" w:eastAsia="en-US"/>
              </w:rPr>
            </w:pPr>
            <w:hyperlink r:id="rId13" w:history="1">
              <w:r>
                <w:rPr>
                  <w:rStyle w:val="Hyperlink"/>
                  <w:i/>
                  <w:iCs/>
                  <w:sz w:val="20"/>
                  <w:szCs w:val="20"/>
                  <w:lang w:val="en-GB" w:eastAsia="en-US"/>
                </w:rPr>
                <w:t>www.cfe-eutax.org</w:t>
              </w:r>
            </w:hyperlink>
          </w:p>
        </w:tc>
      </w:tr>
      <w:tr w:rsidR="004A48A9" w:rsidTr="004A48A9">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4A48A9">
              <w:trPr>
                <w:tblCellSpacing w:w="0" w:type="dxa"/>
              </w:trPr>
              <w:tc>
                <w:tcPr>
                  <w:tcW w:w="0" w:type="auto"/>
                  <w:vAlign w:val="center"/>
                  <w:hideMark/>
                </w:tcPr>
                <w:p w:rsidR="004A48A9" w:rsidRDefault="004A48A9">
                  <w:pPr>
                    <w:spacing w:line="276" w:lineRule="auto"/>
                    <w:rPr>
                      <w:lang w:val="en-GB"/>
                    </w:rPr>
                  </w:pPr>
                  <w:r>
                    <w:rPr>
                      <w:lang w:val="en-GB"/>
                    </w:rPr>
                    <w:lastRenderedPageBreak/>
                    <w:t> </w:t>
                  </w:r>
                </w:p>
              </w:tc>
            </w:tr>
          </w:tbl>
          <w:p w:rsidR="004A48A9" w:rsidRDefault="004A48A9">
            <w:pPr>
              <w:rPr>
                <w:rFonts w:ascii="Times New Roman" w:eastAsia="Times New Roman" w:hAnsi="Times New Roman"/>
                <w:sz w:val="20"/>
                <w:szCs w:val="20"/>
                <w:lang w:eastAsia="nl-NL"/>
              </w:rPr>
            </w:pPr>
          </w:p>
        </w:tc>
      </w:tr>
    </w:tbl>
    <w:p w:rsidR="004A48A9" w:rsidRDefault="004A48A9" w:rsidP="004A48A9">
      <w:pPr>
        <w:rPr>
          <w:color w:val="1F497D"/>
          <w:lang w:val="en-US"/>
        </w:rPr>
      </w:pPr>
    </w:p>
    <w:p w:rsidR="00205106" w:rsidRDefault="00205106">
      <w:bookmarkStart w:id="0" w:name="_GoBack"/>
      <w:bookmarkEnd w:id="0"/>
    </w:p>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61BC3"/>
    <w:multiLevelType w:val="hybridMultilevel"/>
    <w:tmpl w:val="A0E4E2D2"/>
    <w:lvl w:ilvl="0" w:tplc="98D6D09C">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6CF6566"/>
    <w:multiLevelType w:val="hybridMultilevel"/>
    <w:tmpl w:val="0756E900"/>
    <w:lvl w:ilvl="0" w:tplc="C94628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E9F6C22"/>
    <w:multiLevelType w:val="hybridMultilevel"/>
    <w:tmpl w:val="BD2EFE24"/>
    <w:lvl w:ilvl="0" w:tplc="1E2A9C82">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A9"/>
    <w:rsid w:val="00205106"/>
    <w:rsid w:val="003B7674"/>
    <w:rsid w:val="004A48A9"/>
    <w:rsid w:val="00B2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497D7-B451-4C02-8646-50704CDA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48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A48A9"/>
    <w:rPr>
      <w:color w:val="0000FF"/>
      <w:u w:val="single"/>
    </w:rPr>
  </w:style>
  <w:style w:type="paragraph" w:styleId="Lijstalinea">
    <w:name w:val="List Paragraph"/>
    <w:basedOn w:val="Standaard"/>
    <w:uiPriority w:val="34"/>
    <w:qFormat/>
    <w:rsid w:val="004A48A9"/>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et.oecd.org/MyEvents/EventDetail.aspx?action=register&amp;key=55285" TargetMode="External"/><Relationship Id="rId13" Type="http://schemas.openxmlformats.org/officeDocument/2006/relationships/hyperlink" Target="http://www.cfe-eutax.org" TargetMode="External"/><Relationship Id="rId3" Type="http://schemas.openxmlformats.org/officeDocument/2006/relationships/settings" Target="settings.xml"/><Relationship Id="rId7" Type="http://schemas.openxmlformats.org/officeDocument/2006/relationships/hyperlink" Target="http://video.oecd.org/" TargetMode="External"/><Relationship Id="rId12" Type="http://schemas.openxmlformats.org/officeDocument/2006/relationships/hyperlink" Target="http://www.cfe-eutax.org/publications/cfe-forum-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CF62DC.2FE026A0" TargetMode="External"/><Relationship Id="rId11" Type="http://schemas.openxmlformats.org/officeDocument/2006/relationships/hyperlink" Target="http://www.cc.lu/uploads/tx_userccagenda/Invitation_Conference_EEN_TVA.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c.lu/autres-services/manifestations/detail/?user_ccagenda_pi1%5bshowUid%5d=487" TargetMode="External"/><Relationship Id="rId4" Type="http://schemas.openxmlformats.org/officeDocument/2006/relationships/webSettings" Target="webSettings.xml"/><Relationship Id="rId9" Type="http://schemas.openxmlformats.org/officeDocument/2006/relationships/hyperlink" Target="http://www.oecd.org/tax/international-community-continues-making-progress-on-tax-transparency.ht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A53E7EC6.dotm</Template>
  <TotalTime>0</TotalTime>
  <Pages>2</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2014-05-09T13:37:00Z</dcterms:created>
  <dcterms:modified xsi:type="dcterms:W3CDTF">2014-05-09T13:37:00Z</dcterms:modified>
</cp:coreProperties>
</file>