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2AC" w:rsidRDefault="00DC22AC" w:rsidP="00DC22AC"/>
    <w:tbl>
      <w:tblPr>
        <w:tblW w:w="8265" w:type="dxa"/>
        <w:tblCellSpacing w:w="0" w:type="dxa"/>
        <w:tblCellMar>
          <w:left w:w="0" w:type="dxa"/>
          <w:right w:w="0" w:type="dxa"/>
        </w:tblCellMar>
        <w:tblLook w:val="04A0" w:firstRow="1" w:lastRow="0" w:firstColumn="1" w:lastColumn="0" w:noHBand="0" w:noVBand="1"/>
      </w:tblPr>
      <w:tblGrid>
        <w:gridCol w:w="9052"/>
      </w:tblGrid>
      <w:tr w:rsidR="00DC22AC" w:rsidTr="00DC22AC">
        <w:trPr>
          <w:tblCellSpacing w:w="0" w:type="dxa"/>
        </w:trPr>
        <w:tc>
          <w:tcPr>
            <w:tcW w:w="0" w:type="auto"/>
            <w:tcBorders>
              <w:top w:val="single" w:sz="8" w:space="0" w:color="9C9C9C"/>
              <w:left w:val="single" w:sz="8" w:space="0" w:color="9C9C9C"/>
              <w:bottom w:val="single" w:sz="8" w:space="0" w:color="9C9C9C"/>
              <w:right w:val="single" w:sz="8" w:space="0" w:color="9C9C9C"/>
            </w:tcBorders>
            <w:shd w:val="clear" w:color="auto" w:fill="FFFFFF"/>
            <w:tcMar>
              <w:top w:w="75" w:type="dxa"/>
              <w:left w:w="75" w:type="dxa"/>
              <w:bottom w:w="75" w:type="dxa"/>
              <w:right w:w="75" w:type="dxa"/>
            </w:tcMar>
            <w:vAlign w:val="center"/>
            <w:hideMark/>
          </w:tcPr>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8862"/>
            </w:tblGrid>
            <w:tr w:rsidR="00DC22AC">
              <w:trPr>
                <w:tblCellSpacing w:w="0" w:type="dxa"/>
              </w:trPr>
              <w:tc>
                <w:tcPr>
                  <w:tcW w:w="8154" w:type="dxa"/>
                  <w:tcBorders>
                    <w:top w:val="nil"/>
                    <w:left w:val="nil"/>
                    <w:bottom w:val="nil"/>
                    <w:right w:val="nil"/>
                  </w:tcBorders>
                  <w:tcMar>
                    <w:top w:w="375" w:type="dxa"/>
                    <w:left w:w="300" w:type="dxa"/>
                    <w:bottom w:w="300" w:type="dxa"/>
                    <w:right w:w="300" w:type="dxa"/>
                  </w:tcMar>
                  <w:vAlign w:val="center"/>
                  <w:hideMark/>
                </w:tcPr>
                <w:tbl>
                  <w:tblPr>
                    <w:tblW w:w="8214" w:type="dxa"/>
                    <w:tblCellSpacing w:w="0" w:type="dxa"/>
                    <w:tblCellMar>
                      <w:left w:w="0" w:type="dxa"/>
                      <w:right w:w="0" w:type="dxa"/>
                    </w:tblCellMar>
                    <w:tblLook w:val="04A0" w:firstRow="1" w:lastRow="0" w:firstColumn="1" w:lastColumn="0" w:noHBand="0" w:noVBand="1"/>
                  </w:tblPr>
                  <w:tblGrid>
                    <w:gridCol w:w="8193"/>
                    <w:gridCol w:w="69"/>
                  </w:tblGrid>
                  <w:tr w:rsidR="00DC22AC" w:rsidRPr="00DC22AC">
                    <w:trPr>
                      <w:tblCellSpacing w:w="0" w:type="dxa"/>
                    </w:trPr>
                    <w:tc>
                      <w:tcPr>
                        <w:tcW w:w="8205" w:type="dxa"/>
                        <w:vAlign w:val="center"/>
                        <w:hideMark/>
                      </w:tcPr>
                      <w:p w:rsidR="00DC22AC" w:rsidRDefault="00DC22AC">
                        <w:pPr>
                          <w:spacing w:line="276" w:lineRule="auto"/>
                          <w:jc w:val="right"/>
                        </w:pPr>
                        <w:r>
                          <w:rPr>
                            <w:noProof/>
                            <w:lang w:eastAsia="nl-NL"/>
                          </w:rPr>
                          <mc:AlternateContent>
                            <mc:Choice Requires="wps">
                              <w:drawing>
                                <wp:inline distT="0" distB="0" distL="0" distR="0">
                                  <wp:extent cx="5762625" cy="666750"/>
                                  <wp:effectExtent l="0" t="0" r="0" b="0"/>
                                  <wp:docPr id="1" name="Rechthoek 1" descr="cid:image001.jpg@01CF4760.325A3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96EA2" id="Rechthoek 1" o:spid="_x0000_s1026" alt="cid:image001.jpg@01CF4760.325A3980" style="width:45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" filled="f" stroked="f">
                                  <o:lock v:ext="edit" aspectratio="t"/>
                                  <w10:anchorlock/>
                                </v:rect>
                              </w:pict>
                            </mc:Fallback>
                          </mc:AlternateContent>
                        </w:r>
                      </w:p>
                    </w:tc>
                    <w:tc>
                      <w:tcPr>
                        <w:tcW w:w="0" w:type="auto"/>
                        <w:vAlign w:val="center"/>
                        <w:hideMark/>
                      </w:tcPr>
                      <w:p w:rsidR="00DC22AC" w:rsidRPr="00DC22AC" w:rsidRDefault="00DC22AC">
                        <w:pPr>
                          <w:spacing w:line="276" w:lineRule="auto"/>
                          <w:jc w:val="right"/>
                          <w:rPr>
                            <w:lang w:val="en-GB"/>
                          </w:rPr>
                        </w:pPr>
                        <w:r>
                          <w:rPr>
                            <w:rFonts w:ascii="Arial" w:hAnsi="Arial" w:cs="Arial"/>
                            <w:color w:val="ACABAB"/>
                            <w:sz w:val="27"/>
                            <w:szCs w:val="27"/>
                            <w:lang w:val="en-GB"/>
                          </w:rPr>
                          <w:t> </w:t>
                        </w:r>
                      </w:p>
                      <w:p w:rsidR="00DC22AC" w:rsidRPr="00DC22AC" w:rsidRDefault="00DC22AC">
                        <w:pPr>
                          <w:spacing w:line="276" w:lineRule="auto"/>
                          <w:jc w:val="right"/>
                          <w:rPr>
                            <w:lang w:val="en-GB"/>
                          </w:rPr>
                        </w:pPr>
                        <w:r>
                          <w:rPr>
                            <w:rFonts w:ascii="Arial" w:hAnsi="Arial" w:cs="Arial"/>
                            <w:color w:val="ACABAB"/>
                            <w:sz w:val="27"/>
                            <w:szCs w:val="27"/>
                            <w:lang w:val="en-GB"/>
                          </w:rPr>
                          <w:t> </w:t>
                        </w:r>
                      </w:p>
                    </w:tc>
                  </w:tr>
                </w:tbl>
                <w:p w:rsidR="00DC22AC" w:rsidRPr="00DC22AC" w:rsidRDefault="00DC22AC">
                  <w:pPr>
                    <w:spacing w:line="276" w:lineRule="auto"/>
                    <w:rPr>
                      <w:lang w:val="en-GB"/>
                    </w:rPr>
                  </w:pPr>
                  <w:r>
                    <w:rPr>
                      <w:b/>
                      <w:bCs/>
                      <w:lang w:val="en-GB"/>
                    </w:rPr>
                    <w:t>Fiscal Committee</w:t>
                  </w:r>
                </w:p>
                <w:p w:rsidR="00DC22AC" w:rsidRPr="00DC22AC" w:rsidRDefault="00DC22AC">
                  <w:pPr>
                    <w:spacing w:line="276" w:lineRule="auto"/>
                    <w:jc w:val="right"/>
                    <w:rPr>
                      <w:lang w:val="en-GB"/>
                    </w:rPr>
                  </w:pPr>
                  <w:r>
                    <w:rPr>
                      <w:b/>
                      <w:bCs/>
                      <w:lang w:val="en-GB"/>
                    </w:rPr>
                    <w:t>24 March 2014</w:t>
                  </w:r>
                </w:p>
                <w:p w:rsidR="00DC22AC" w:rsidRPr="00DC22AC" w:rsidRDefault="00DC22AC">
                  <w:pPr>
                    <w:spacing w:line="276" w:lineRule="auto"/>
                    <w:rPr>
                      <w:lang w:val="en-GB"/>
                    </w:rPr>
                  </w:pPr>
                  <w:r>
                    <w:rPr>
                      <w:rFonts w:ascii="Times New Roman" w:hAnsi="Times New Roman"/>
                      <w:lang w:val="en-GB"/>
                    </w:rPr>
                    <w:t> </w:t>
                  </w:r>
                </w:p>
                <w:p w:rsidR="00DC22AC" w:rsidRPr="00DC22AC" w:rsidRDefault="00DC22AC">
                  <w:pPr>
                    <w:spacing w:line="276" w:lineRule="auto"/>
                    <w:jc w:val="both"/>
                    <w:rPr>
                      <w:lang w:val="en-GB"/>
                    </w:rPr>
                  </w:pPr>
                  <w:r>
                    <w:rPr>
                      <w:sz w:val="20"/>
                      <w:szCs w:val="20"/>
                      <w:lang w:val="en-US"/>
                    </w:rPr>
                    <w:t> </w:t>
                  </w:r>
                </w:p>
                <w:p w:rsidR="00DC22AC" w:rsidRPr="00DC22AC" w:rsidRDefault="00DC22AC">
                  <w:pPr>
                    <w:shd w:val="clear" w:color="auto" w:fill="FFFFFF"/>
                    <w:spacing w:line="276" w:lineRule="auto"/>
                    <w:jc w:val="both"/>
                    <w:rPr>
                      <w:lang w:val="en-GB"/>
                    </w:rPr>
                  </w:pPr>
                  <w:r>
                    <w:rPr>
                      <w:b/>
                      <w:bCs/>
                      <w:color w:val="222222"/>
                      <w:sz w:val="20"/>
                      <w:szCs w:val="20"/>
                      <w:lang w:val="en-GB"/>
                    </w:rPr>
                    <w:t xml:space="preserve">1-  OECD BEPS: </w:t>
                  </w:r>
                  <w:r>
                    <w:rPr>
                      <w:b/>
                      <w:bCs/>
                      <w:color w:val="222222"/>
                      <w:sz w:val="20"/>
                      <w:szCs w:val="20"/>
                      <w:lang w:val="en"/>
                    </w:rPr>
                    <w:t>Consultation on hybrid mismatch arrangements</w:t>
                  </w:r>
                </w:p>
                <w:p w:rsidR="00DC22AC" w:rsidRDefault="00DC22AC">
                  <w:pPr>
                    <w:pStyle w:val="Kop4"/>
                    <w:spacing w:line="276" w:lineRule="auto"/>
                    <w:jc w:val="both"/>
                    <w:rPr>
                      <w:rFonts w:eastAsia="Times New Roman"/>
                    </w:rPr>
                  </w:pPr>
                  <w:r>
                    <w:rPr>
                      <w:rFonts w:ascii="Calibri" w:eastAsia="Times New Roman" w:hAnsi="Calibri"/>
                      <w:b w:val="0"/>
                      <w:bCs w:val="0"/>
                      <w:color w:val="000000"/>
                      <w:sz w:val="20"/>
                      <w:szCs w:val="20"/>
                      <w:lang w:val="en" w:eastAsia="en-US"/>
                    </w:rPr>
                    <w:t xml:space="preserve">On 19 March 2014, the OECD released two discussion drafts for comment. Both relate to Action 2 of the BEPS Action Plan which calls for the development of model treaty provisions and recommendations for the design of domestic rules to </w:t>
                  </w:r>
                  <w:proofErr w:type="spellStart"/>
                  <w:r>
                    <w:rPr>
                      <w:rFonts w:ascii="Calibri" w:eastAsia="Times New Roman" w:hAnsi="Calibri"/>
                      <w:b w:val="0"/>
                      <w:bCs w:val="0"/>
                      <w:color w:val="000000"/>
                      <w:sz w:val="20"/>
                      <w:szCs w:val="20"/>
                      <w:lang w:val="en" w:eastAsia="en-US"/>
                    </w:rPr>
                    <w:t>neutralise</w:t>
                  </w:r>
                  <w:proofErr w:type="spellEnd"/>
                  <w:r>
                    <w:rPr>
                      <w:rFonts w:ascii="Calibri" w:eastAsia="Times New Roman" w:hAnsi="Calibri"/>
                      <w:b w:val="0"/>
                      <w:bCs w:val="0"/>
                      <w:color w:val="000000"/>
                      <w:sz w:val="20"/>
                      <w:szCs w:val="20"/>
                      <w:lang w:val="en" w:eastAsia="en-US"/>
                    </w:rPr>
                    <w:t xml:space="preserve"> the effect (e.g. double non-taxation, double deduction, long-term deferral) of hybrid instruments and entities. Comments should be submitted by 2 May 2014. </w:t>
                  </w:r>
                </w:p>
                <w:p w:rsidR="00DC22AC" w:rsidRDefault="00DC22AC" w:rsidP="005D3CE8">
                  <w:pPr>
                    <w:pStyle w:val="Lijstalinea"/>
                    <w:numPr>
                      <w:ilvl w:val="0"/>
                      <w:numId w:val="1"/>
                    </w:numPr>
                    <w:spacing w:line="276" w:lineRule="auto"/>
                    <w:jc w:val="both"/>
                  </w:pPr>
                  <w:hyperlink r:id="rId5" w:history="1">
                    <w:r>
                      <w:rPr>
                        <w:rStyle w:val="Hyperlink"/>
                        <w:sz w:val="20"/>
                        <w:szCs w:val="20"/>
                        <w:lang w:val="en-US" w:eastAsia="en-US"/>
                      </w:rPr>
                      <w:t>OECD website</w:t>
                    </w:r>
                  </w:hyperlink>
                </w:p>
                <w:p w:rsidR="00DC22AC" w:rsidRPr="00DC22AC" w:rsidRDefault="00DC22AC" w:rsidP="005D3CE8">
                  <w:pPr>
                    <w:pStyle w:val="Lijstalinea"/>
                    <w:numPr>
                      <w:ilvl w:val="0"/>
                      <w:numId w:val="1"/>
                    </w:numPr>
                    <w:spacing w:line="276" w:lineRule="auto"/>
                    <w:jc w:val="both"/>
                    <w:rPr>
                      <w:lang w:val="en-GB"/>
                    </w:rPr>
                  </w:pPr>
                  <w:hyperlink r:id="rId6" w:history="1">
                    <w:r>
                      <w:rPr>
                        <w:rStyle w:val="Hyperlink"/>
                        <w:sz w:val="20"/>
                        <w:szCs w:val="20"/>
                        <w:lang w:val="en" w:eastAsia="en-US"/>
                      </w:rPr>
                      <w:t>1</w:t>
                    </w:r>
                    <w:r>
                      <w:rPr>
                        <w:rStyle w:val="Hyperlink"/>
                        <w:sz w:val="20"/>
                        <w:szCs w:val="20"/>
                        <w:vertAlign w:val="superscript"/>
                        <w:lang w:val="en" w:eastAsia="en-US"/>
                      </w:rPr>
                      <w:t>st</w:t>
                    </w:r>
                    <w:r>
                      <w:rPr>
                        <w:rStyle w:val="Hyperlink"/>
                        <w:sz w:val="20"/>
                        <w:szCs w:val="20"/>
                        <w:lang w:val="en" w:eastAsia="en-US"/>
                      </w:rPr>
                      <w:t xml:space="preserve"> Discussion Draft: “Recommendations for Domestic Laws” </w:t>
                    </w:r>
                  </w:hyperlink>
                </w:p>
                <w:p w:rsidR="00DC22AC" w:rsidRPr="00DC22AC" w:rsidRDefault="00DC22AC" w:rsidP="005D3CE8">
                  <w:pPr>
                    <w:pStyle w:val="Lijstalinea"/>
                    <w:numPr>
                      <w:ilvl w:val="0"/>
                      <w:numId w:val="1"/>
                    </w:numPr>
                    <w:spacing w:line="276" w:lineRule="auto"/>
                    <w:rPr>
                      <w:lang w:val="en-GB"/>
                    </w:rPr>
                  </w:pPr>
                  <w:hyperlink r:id="rId7" w:history="1">
                    <w:r>
                      <w:rPr>
                        <w:rStyle w:val="Hyperlink"/>
                        <w:sz w:val="20"/>
                        <w:szCs w:val="20"/>
                        <w:lang w:val="en" w:eastAsia="en-US"/>
                      </w:rPr>
                      <w:t>2</w:t>
                    </w:r>
                    <w:r>
                      <w:rPr>
                        <w:rStyle w:val="Hyperlink"/>
                        <w:sz w:val="20"/>
                        <w:szCs w:val="20"/>
                        <w:vertAlign w:val="superscript"/>
                        <w:lang w:val="en" w:eastAsia="en-US"/>
                      </w:rPr>
                      <w:t>nd</w:t>
                    </w:r>
                    <w:r>
                      <w:rPr>
                        <w:rStyle w:val="Hyperlink"/>
                        <w:sz w:val="20"/>
                        <w:szCs w:val="20"/>
                        <w:lang w:val="en" w:eastAsia="en-US"/>
                      </w:rPr>
                      <w:t xml:space="preserve"> Discussion Draft: “Treaty Aspects of the Work on Action 2 of the BEPS Action Plan”</w:t>
                    </w:r>
                  </w:hyperlink>
                </w:p>
                <w:p w:rsidR="00DC22AC" w:rsidRPr="00DC22AC" w:rsidRDefault="00DC22AC">
                  <w:pPr>
                    <w:pStyle w:val="Lijstalinea"/>
                    <w:spacing w:line="276" w:lineRule="auto"/>
                    <w:rPr>
                      <w:lang w:val="en-GB"/>
                    </w:rPr>
                  </w:pPr>
                  <w:r>
                    <w:rPr>
                      <w:color w:val="000000"/>
                      <w:sz w:val="20"/>
                      <w:szCs w:val="20"/>
                      <w:lang w:val="en-US" w:eastAsia="en-US"/>
                    </w:rPr>
                    <w:t> </w:t>
                  </w:r>
                </w:p>
                <w:p w:rsidR="00DC22AC" w:rsidRPr="00DC22AC" w:rsidRDefault="00DC22AC">
                  <w:pPr>
                    <w:spacing w:line="276" w:lineRule="auto"/>
                    <w:jc w:val="both"/>
                    <w:rPr>
                      <w:lang w:val="en-GB"/>
                    </w:rPr>
                  </w:pPr>
                  <w:r>
                    <w:rPr>
                      <w:color w:val="000000"/>
                      <w:sz w:val="20"/>
                      <w:szCs w:val="20"/>
                      <w:lang w:val="en-US"/>
                    </w:rPr>
                    <w:t> </w:t>
                  </w:r>
                </w:p>
                <w:p w:rsidR="00DC22AC" w:rsidRPr="00DC22AC" w:rsidRDefault="00DC22AC">
                  <w:pPr>
                    <w:spacing w:line="276" w:lineRule="auto"/>
                    <w:jc w:val="both"/>
                    <w:rPr>
                      <w:lang w:val="en-GB"/>
                    </w:rPr>
                  </w:pPr>
                  <w:r>
                    <w:rPr>
                      <w:b/>
                      <w:bCs/>
                      <w:color w:val="000000"/>
                      <w:sz w:val="20"/>
                      <w:szCs w:val="20"/>
                      <w:lang w:val="en-GB"/>
                    </w:rPr>
                    <w:t>2-  Commission to host two conferences on new 2015 VAT rules</w:t>
                  </w:r>
                </w:p>
                <w:p w:rsidR="00DC22AC" w:rsidRPr="00DC22AC" w:rsidRDefault="00DC22AC">
                  <w:pPr>
                    <w:spacing w:line="276" w:lineRule="auto"/>
                    <w:jc w:val="both"/>
                    <w:rPr>
                      <w:lang w:val="en-GB"/>
                    </w:rPr>
                  </w:pPr>
                  <w:r>
                    <w:rPr>
                      <w:color w:val="000000"/>
                      <w:sz w:val="20"/>
                      <w:szCs w:val="20"/>
                      <w:lang w:val="en-GB"/>
                    </w:rPr>
                    <w:t> </w:t>
                  </w:r>
                </w:p>
                <w:p w:rsidR="00DC22AC" w:rsidRPr="00DC22AC" w:rsidRDefault="00DC22AC">
                  <w:pPr>
                    <w:spacing w:line="276" w:lineRule="auto"/>
                    <w:jc w:val="both"/>
                    <w:rPr>
                      <w:lang w:val="en-GB"/>
                    </w:rPr>
                  </w:pPr>
                  <w:r>
                    <w:rPr>
                      <w:color w:val="000000"/>
                      <w:sz w:val="20"/>
                      <w:szCs w:val="20"/>
                      <w:lang w:val="en-GB"/>
                    </w:rPr>
                    <w:t>From 1 January 2015, telecommunications, broadcasting and electronic services will always be taxed in the country where the customer (business or consumer) belongs, whether supplier is based in the EU or outside. To explain the new rules, the European Commission is planning to host two conferences, on 15 May 2014 in Brussels and on 2 June 2014 in London.</w:t>
                  </w:r>
                </w:p>
                <w:p w:rsidR="00DC22AC" w:rsidRPr="00DC22AC" w:rsidRDefault="00DC22AC">
                  <w:pPr>
                    <w:spacing w:line="276" w:lineRule="auto"/>
                    <w:jc w:val="both"/>
                    <w:rPr>
                      <w:lang w:val="en-GB"/>
                    </w:rPr>
                  </w:pPr>
                  <w:r>
                    <w:rPr>
                      <w:color w:val="000000"/>
                      <w:sz w:val="20"/>
                      <w:szCs w:val="20"/>
                      <w:lang w:val="en-GB"/>
                    </w:rPr>
                    <w:t> </w:t>
                  </w:r>
                </w:p>
                <w:p w:rsidR="00DC22AC" w:rsidRPr="00DC22AC" w:rsidRDefault="00DC22AC" w:rsidP="005D3CE8">
                  <w:pPr>
                    <w:pStyle w:val="Lijstalinea"/>
                    <w:numPr>
                      <w:ilvl w:val="0"/>
                      <w:numId w:val="1"/>
                    </w:numPr>
                    <w:spacing w:line="276" w:lineRule="auto"/>
                    <w:jc w:val="both"/>
                    <w:rPr>
                      <w:lang w:val="en-GB"/>
                    </w:rPr>
                  </w:pPr>
                  <w:r>
                    <w:rPr>
                      <w:color w:val="000000"/>
                      <w:sz w:val="20"/>
                      <w:szCs w:val="20"/>
                      <w:lang w:val="en-GB" w:eastAsia="en-US"/>
                    </w:rPr>
                    <w:t xml:space="preserve">More information soon on </w:t>
                  </w:r>
                  <w:hyperlink r:id="rId8" w:history="1">
                    <w:proofErr w:type="spellStart"/>
                    <w:r>
                      <w:rPr>
                        <w:rStyle w:val="Hyperlink"/>
                        <w:sz w:val="20"/>
                        <w:szCs w:val="20"/>
                        <w:lang w:val="en-GB" w:eastAsia="en-US"/>
                      </w:rPr>
                      <w:t>TaxUD</w:t>
                    </w:r>
                    <w:proofErr w:type="spellEnd"/>
                    <w:r>
                      <w:rPr>
                        <w:rStyle w:val="Hyperlink"/>
                        <w:sz w:val="20"/>
                        <w:szCs w:val="20"/>
                        <w:lang w:val="en-GB" w:eastAsia="en-US"/>
                      </w:rPr>
                      <w:t xml:space="preserve"> website</w:t>
                    </w:r>
                  </w:hyperlink>
                  <w:r w:rsidRPr="00DC22AC">
                    <w:rPr>
                      <w:color w:val="000000"/>
                      <w:sz w:val="20"/>
                      <w:szCs w:val="20"/>
                      <w:lang w:val="en-GB" w:eastAsia="en-US"/>
                    </w:rPr>
                    <w:t xml:space="preserve"> </w:t>
                  </w:r>
                </w:p>
                <w:p w:rsidR="00DC22AC" w:rsidRPr="00DC22AC" w:rsidRDefault="00DC22AC">
                  <w:pPr>
                    <w:spacing w:line="276" w:lineRule="auto"/>
                    <w:jc w:val="both"/>
                    <w:rPr>
                      <w:lang w:val="en-GB"/>
                    </w:rPr>
                  </w:pPr>
                  <w:r>
                    <w:rPr>
                      <w:color w:val="000000"/>
                      <w:sz w:val="20"/>
                      <w:szCs w:val="20"/>
                      <w:lang w:val="en-US"/>
                    </w:rPr>
                    <w:t> </w:t>
                  </w:r>
                </w:p>
                <w:p w:rsidR="00DC22AC" w:rsidRPr="00DC22AC" w:rsidRDefault="00DC22AC">
                  <w:pPr>
                    <w:spacing w:line="276" w:lineRule="auto"/>
                    <w:jc w:val="both"/>
                    <w:rPr>
                      <w:lang w:val="en-GB"/>
                    </w:rPr>
                  </w:pPr>
                  <w:r>
                    <w:rPr>
                      <w:color w:val="000000"/>
                      <w:sz w:val="20"/>
                      <w:szCs w:val="20"/>
                      <w:lang w:val="en-US"/>
                    </w:rPr>
                    <w:t> </w:t>
                  </w:r>
                </w:p>
                <w:p w:rsidR="00DC22AC" w:rsidRPr="00DC22AC" w:rsidRDefault="00DC22AC">
                  <w:pPr>
                    <w:spacing w:line="276" w:lineRule="auto"/>
                    <w:rPr>
                      <w:lang w:val="en-GB"/>
                    </w:rPr>
                  </w:pPr>
                  <w:r>
                    <w:rPr>
                      <w:b/>
                      <w:bCs/>
                      <w:sz w:val="20"/>
                      <w:szCs w:val="20"/>
                      <w:lang w:val="en-GB"/>
                    </w:rPr>
                    <w:t>3-  EP Committee votes on compromise on disclosure of non-financial information</w:t>
                  </w:r>
                </w:p>
                <w:p w:rsidR="00DC22AC" w:rsidRPr="00DC22AC" w:rsidRDefault="00DC22AC">
                  <w:pPr>
                    <w:spacing w:line="276" w:lineRule="auto"/>
                    <w:rPr>
                      <w:lang w:val="en-GB"/>
                    </w:rPr>
                  </w:pPr>
                  <w:r>
                    <w:rPr>
                      <w:sz w:val="20"/>
                      <w:szCs w:val="20"/>
                      <w:lang w:val="en-GB"/>
                    </w:rPr>
                    <w:t> </w:t>
                  </w:r>
                </w:p>
                <w:p w:rsidR="00DC22AC" w:rsidRPr="00DC22AC" w:rsidRDefault="00DC22AC">
                  <w:pPr>
                    <w:spacing w:line="276" w:lineRule="auto"/>
                    <w:rPr>
                      <w:lang w:val="en-GB"/>
                    </w:rPr>
                  </w:pPr>
                  <w:r>
                    <w:rPr>
                      <w:sz w:val="20"/>
                      <w:szCs w:val="20"/>
                      <w:lang w:val="en-GB"/>
                    </w:rPr>
                    <w:t>On 20 March 2014, the European Parliament´s JURI Committee endorsed the compromise on the disclosure of certain non-financial information by large companies, to be included in the EU Accounting Directive, reached on 26 February 2014 (see CFE´s Tax Top 5 of 3 March 2014). As to the proposed (but not decided) mandatory disclosure of tax payments of large undertakings on a country-by-country basis, the text voted on 20 March contains only a minor change to the version adopted by JURI on 17 December 2013.</w:t>
                  </w:r>
                </w:p>
                <w:p w:rsidR="00DC22AC" w:rsidRPr="00DC22AC" w:rsidRDefault="00DC22AC">
                  <w:pPr>
                    <w:spacing w:line="276" w:lineRule="auto"/>
                    <w:rPr>
                      <w:lang w:val="en-GB"/>
                    </w:rPr>
                  </w:pPr>
                  <w:r>
                    <w:rPr>
                      <w:sz w:val="20"/>
                      <w:szCs w:val="20"/>
                      <w:lang w:val="en-GB"/>
                    </w:rPr>
                    <w:t> </w:t>
                  </w:r>
                </w:p>
                <w:p w:rsidR="00DC22AC" w:rsidRPr="00DC22AC" w:rsidRDefault="00DC22AC" w:rsidP="005D3CE8">
                  <w:pPr>
                    <w:pStyle w:val="Lijstalinea"/>
                    <w:numPr>
                      <w:ilvl w:val="0"/>
                      <w:numId w:val="1"/>
                    </w:numPr>
                    <w:spacing w:line="276" w:lineRule="auto"/>
                    <w:rPr>
                      <w:lang w:val="en-GB"/>
                    </w:rPr>
                  </w:pPr>
                  <w:hyperlink r:id="rId9" w:history="1">
                    <w:r>
                      <w:rPr>
                        <w:rStyle w:val="Hyperlink"/>
                        <w:sz w:val="20"/>
                        <w:szCs w:val="20"/>
                        <w:lang w:val="en-GB" w:eastAsia="en-US"/>
                      </w:rPr>
                      <w:t>JURI vote of 20 March 2014, consolidated version</w:t>
                    </w:r>
                  </w:hyperlink>
                </w:p>
                <w:p w:rsidR="00DC22AC" w:rsidRPr="00DC22AC" w:rsidRDefault="00DC22AC">
                  <w:pPr>
                    <w:spacing w:line="276" w:lineRule="auto"/>
                    <w:jc w:val="both"/>
                    <w:rPr>
                      <w:lang w:val="en-GB"/>
                    </w:rPr>
                  </w:pPr>
                  <w:r>
                    <w:rPr>
                      <w:b/>
                      <w:bCs/>
                      <w:sz w:val="20"/>
                      <w:szCs w:val="20"/>
                      <w:lang w:val="en-GB"/>
                    </w:rPr>
                    <w:t> </w:t>
                  </w:r>
                </w:p>
                <w:p w:rsidR="00DC22AC" w:rsidRPr="00DC22AC" w:rsidRDefault="00DC22AC">
                  <w:pPr>
                    <w:spacing w:line="276" w:lineRule="auto"/>
                    <w:jc w:val="both"/>
                    <w:rPr>
                      <w:lang w:val="en-GB"/>
                    </w:rPr>
                  </w:pPr>
                  <w:r>
                    <w:rPr>
                      <w:b/>
                      <w:bCs/>
                      <w:sz w:val="20"/>
                      <w:szCs w:val="20"/>
                      <w:lang w:val="en-GB"/>
                    </w:rPr>
                    <w:t> </w:t>
                  </w:r>
                </w:p>
                <w:p w:rsidR="00DC22AC" w:rsidRPr="00DC22AC" w:rsidRDefault="00DC22AC">
                  <w:pPr>
                    <w:autoSpaceDE w:val="0"/>
                    <w:autoSpaceDN w:val="0"/>
                    <w:spacing w:line="276" w:lineRule="auto"/>
                    <w:jc w:val="both"/>
                    <w:rPr>
                      <w:lang w:val="en-GB"/>
                    </w:rPr>
                  </w:pPr>
                  <w:r>
                    <w:rPr>
                      <w:b/>
                      <w:bCs/>
                      <w:color w:val="222222"/>
                      <w:sz w:val="20"/>
                      <w:szCs w:val="20"/>
                      <w:lang w:val="en-GB"/>
                    </w:rPr>
                    <w:t>4-  Savings Tax deal to be struck today</w:t>
                  </w:r>
                </w:p>
                <w:p w:rsidR="00DC22AC" w:rsidRPr="00DC22AC" w:rsidRDefault="00DC22AC">
                  <w:pPr>
                    <w:spacing w:line="276" w:lineRule="auto"/>
                    <w:jc w:val="both"/>
                    <w:rPr>
                      <w:lang w:val="en-GB"/>
                    </w:rPr>
                  </w:pPr>
                  <w:r>
                    <w:rPr>
                      <w:sz w:val="20"/>
                      <w:szCs w:val="20"/>
                      <w:lang w:val="en-GB"/>
                    </w:rPr>
                    <w:t> </w:t>
                  </w:r>
                </w:p>
                <w:p w:rsidR="00DC22AC" w:rsidRPr="00DC22AC" w:rsidRDefault="00DC22AC">
                  <w:pPr>
                    <w:spacing w:line="276" w:lineRule="auto"/>
                    <w:jc w:val="both"/>
                    <w:rPr>
                      <w:lang w:val="en-GB"/>
                    </w:rPr>
                  </w:pPr>
                  <w:r>
                    <w:rPr>
                      <w:sz w:val="20"/>
                      <w:szCs w:val="20"/>
                      <w:lang w:val="en-GB"/>
                    </w:rPr>
                    <w:lastRenderedPageBreak/>
                    <w:t>At the European Council of 20 March 2014, Austria and Luxembourg confirmed their agreement to the revised EU Savings Tax Directive which is set to be formally adopted today.</w:t>
                  </w:r>
                </w:p>
                <w:p w:rsidR="00DC22AC" w:rsidRPr="00DC22AC" w:rsidRDefault="00DC22AC">
                  <w:pPr>
                    <w:spacing w:line="276" w:lineRule="auto"/>
                    <w:jc w:val="both"/>
                    <w:rPr>
                      <w:lang w:val="en-GB"/>
                    </w:rPr>
                  </w:pPr>
                  <w:r>
                    <w:rPr>
                      <w:sz w:val="20"/>
                      <w:szCs w:val="20"/>
                      <w:lang w:val="en-GB"/>
                    </w:rPr>
                    <w:t> </w:t>
                  </w:r>
                </w:p>
                <w:p w:rsidR="00DC22AC" w:rsidRPr="00DC22AC" w:rsidRDefault="00DC22AC">
                  <w:pPr>
                    <w:spacing w:line="276" w:lineRule="auto"/>
                    <w:jc w:val="both"/>
                    <w:rPr>
                      <w:lang w:val="en-GB"/>
                    </w:rPr>
                  </w:pPr>
                  <w:r>
                    <w:rPr>
                      <w:b/>
                      <w:bCs/>
                      <w:sz w:val="20"/>
                      <w:szCs w:val="20"/>
                      <w:lang w:val="en-GB"/>
                    </w:rPr>
                    <w:t>5- BEPS webcast on 2 April 2014</w:t>
                  </w:r>
                </w:p>
                <w:p w:rsidR="00DC22AC" w:rsidRPr="00DC22AC" w:rsidRDefault="00DC22AC">
                  <w:pPr>
                    <w:spacing w:line="276" w:lineRule="auto"/>
                    <w:jc w:val="both"/>
                    <w:rPr>
                      <w:lang w:val="en-GB"/>
                    </w:rPr>
                  </w:pPr>
                  <w:r>
                    <w:rPr>
                      <w:sz w:val="20"/>
                      <w:szCs w:val="20"/>
                      <w:lang w:val="en-GB"/>
                    </w:rPr>
                    <w:t> </w:t>
                  </w:r>
                </w:p>
                <w:p w:rsidR="00DC22AC" w:rsidRPr="00DC22AC" w:rsidRDefault="00DC22AC">
                  <w:pPr>
                    <w:spacing w:line="276" w:lineRule="auto"/>
                    <w:jc w:val="both"/>
                    <w:rPr>
                      <w:lang w:val="en-GB"/>
                    </w:rPr>
                  </w:pPr>
                  <w:r>
                    <w:rPr>
                      <w:sz w:val="20"/>
                      <w:szCs w:val="20"/>
                      <w:lang w:val="en-GB"/>
                    </w:rPr>
                    <w:t>On 2 April 2014 from 15 - 16:00 CET, the OECD will provide an update on the BEPS project via webcast.</w:t>
                  </w:r>
                </w:p>
                <w:p w:rsidR="00DC22AC" w:rsidRDefault="00DC22AC">
                  <w:pPr>
                    <w:spacing w:line="276" w:lineRule="auto"/>
                    <w:jc w:val="both"/>
                  </w:pPr>
                  <w:r>
                    <w:rPr>
                      <w:sz w:val="20"/>
                      <w:szCs w:val="20"/>
                      <w:lang w:val="en-GB"/>
                    </w:rPr>
                    <w:t>Aspects included will be: </w:t>
                  </w:r>
                </w:p>
                <w:tbl>
                  <w:tblPr>
                    <w:tblW w:w="5000" w:type="pct"/>
                    <w:tblCellSpacing w:w="15" w:type="dxa"/>
                    <w:tblCellMar>
                      <w:left w:w="0" w:type="dxa"/>
                      <w:right w:w="0" w:type="dxa"/>
                    </w:tblCellMar>
                    <w:tblLook w:val="04A0" w:firstRow="1" w:lastRow="0" w:firstColumn="1" w:lastColumn="0" w:noHBand="0" w:noVBand="1"/>
                  </w:tblPr>
                  <w:tblGrid>
                    <w:gridCol w:w="8262"/>
                  </w:tblGrid>
                  <w:tr w:rsidR="00DC22AC">
                    <w:trPr>
                      <w:tblCellSpacing w:w="15" w:type="dxa"/>
                    </w:trPr>
                    <w:tc>
                      <w:tcPr>
                        <w:tcW w:w="0" w:type="auto"/>
                        <w:tcMar>
                          <w:top w:w="15" w:type="dxa"/>
                          <w:left w:w="15" w:type="dxa"/>
                          <w:bottom w:w="15" w:type="dxa"/>
                          <w:right w:w="15" w:type="dxa"/>
                        </w:tcMar>
                        <w:vAlign w:val="center"/>
                        <w:hideMark/>
                      </w:tcPr>
                      <w:p w:rsidR="00DC22AC" w:rsidRPr="00DC22AC" w:rsidRDefault="00DC22AC" w:rsidP="005D3CE8">
                        <w:pPr>
                          <w:numPr>
                            <w:ilvl w:val="0"/>
                            <w:numId w:val="2"/>
                          </w:numPr>
                          <w:spacing w:line="276" w:lineRule="auto"/>
                          <w:jc w:val="both"/>
                          <w:rPr>
                            <w:lang w:val="en-GB"/>
                          </w:rPr>
                        </w:pPr>
                        <w:r>
                          <w:rPr>
                            <w:sz w:val="20"/>
                            <w:szCs w:val="20"/>
                            <w:lang w:val="en-GB"/>
                          </w:rPr>
                          <w:t>Transfer Pricing Documentation and Template for Country-by-Country Reporting</w:t>
                        </w:r>
                      </w:p>
                      <w:p w:rsidR="00DC22AC" w:rsidRDefault="00DC22AC" w:rsidP="005D3CE8">
                        <w:pPr>
                          <w:numPr>
                            <w:ilvl w:val="0"/>
                            <w:numId w:val="2"/>
                          </w:numPr>
                          <w:spacing w:line="276" w:lineRule="auto"/>
                          <w:jc w:val="both"/>
                        </w:pPr>
                        <w:r>
                          <w:rPr>
                            <w:sz w:val="20"/>
                            <w:szCs w:val="20"/>
                            <w:lang w:val="en-GB"/>
                          </w:rPr>
                          <w:t>Tax Treaty Abuse</w:t>
                        </w:r>
                      </w:p>
                      <w:p w:rsidR="00DC22AC" w:rsidRPr="00DC22AC" w:rsidRDefault="00DC22AC" w:rsidP="005D3CE8">
                        <w:pPr>
                          <w:numPr>
                            <w:ilvl w:val="0"/>
                            <w:numId w:val="2"/>
                          </w:numPr>
                          <w:spacing w:line="276" w:lineRule="auto"/>
                          <w:jc w:val="both"/>
                          <w:rPr>
                            <w:lang w:val="en-GB"/>
                          </w:rPr>
                        </w:pPr>
                        <w:r>
                          <w:rPr>
                            <w:sz w:val="20"/>
                            <w:szCs w:val="20"/>
                            <w:lang w:val="en-GB"/>
                          </w:rPr>
                          <w:t>The Tax Challenges of the Digital Economy</w:t>
                        </w:r>
                      </w:p>
                      <w:p w:rsidR="00DC22AC" w:rsidRDefault="00DC22AC" w:rsidP="005D3CE8">
                        <w:pPr>
                          <w:numPr>
                            <w:ilvl w:val="0"/>
                            <w:numId w:val="2"/>
                          </w:numPr>
                          <w:spacing w:line="276" w:lineRule="auto"/>
                          <w:jc w:val="both"/>
                        </w:pPr>
                        <w:r>
                          <w:rPr>
                            <w:sz w:val="20"/>
                            <w:szCs w:val="20"/>
                            <w:lang w:val="en-GB"/>
                          </w:rPr>
                          <w:t>Hybrid Mismatch Arrangements</w:t>
                        </w:r>
                      </w:p>
                      <w:p w:rsidR="00DC22AC" w:rsidRDefault="00DC22AC" w:rsidP="005D3CE8">
                        <w:pPr>
                          <w:numPr>
                            <w:ilvl w:val="0"/>
                            <w:numId w:val="2"/>
                          </w:numPr>
                          <w:spacing w:line="276" w:lineRule="auto"/>
                          <w:jc w:val="both"/>
                        </w:pPr>
                        <w:r>
                          <w:rPr>
                            <w:sz w:val="20"/>
                            <w:szCs w:val="20"/>
                            <w:lang w:val="en-GB"/>
                          </w:rPr>
                          <w:t>Consultation with developing countries</w:t>
                        </w:r>
                      </w:p>
                    </w:tc>
                  </w:tr>
                </w:tbl>
                <w:p w:rsidR="00DC22AC" w:rsidRDefault="00DC22AC">
                  <w:pPr>
                    <w:spacing w:line="276" w:lineRule="auto"/>
                    <w:jc w:val="both"/>
                  </w:pPr>
                  <w:r>
                    <w:rPr>
                      <w:sz w:val="20"/>
                      <w:szCs w:val="20"/>
                      <w:lang w:val="en-GB"/>
                    </w:rPr>
                    <w:t> </w:t>
                  </w:r>
                </w:p>
                <w:p w:rsidR="00DC22AC" w:rsidRPr="00DC22AC" w:rsidRDefault="00DC22AC" w:rsidP="005D3CE8">
                  <w:pPr>
                    <w:pStyle w:val="Lijstalinea"/>
                    <w:numPr>
                      <w:ilvl w:val="0"/>
                      <w:numId w:val="1"/>
                    </w:numPr>
                    <w:spacing w:line="276" w:lineRule="auto"/>
                    <w:jc w:val="both"/>
                    <w:rPr>
                      <w:lang w:val="en-GB"/>
                    </w:rPr>
                  </w:pPr>
                  <w:r>
                    <w:rPr>
                      <w:sz w:val="20"/>
                      <w:szCs w:val="20"/>
                      <w:lang w:val="en-GB" w:eastAsia="en-US"/>
                    </w:rPr>
                    <w:t xml:space="preserve">Registration will open soon on the </w:t>
                  </w:r>
                  <w:hyperlink r:id="rId10" w:history="1">
                    <w:r>
                      <w:rPr>
                        <w:rStyle w:val="Hyperlink"/>
                        <w:sz w:val="20"/>
                        <w:szCs w:val="20"/>
                        <w:lang w:val="en-GB" w:eastAsia="en-US"/>
                      </w:rPr>
                      <w:t>OECD website</w:t>
                    </w:r>
                  </w:hyperlink>
                </w:p>
                <w:p w:rsidR="00DC22AC" w:rsidRPr="00DC22AC" w:rsidRDefault="00DC22AC">
                  <w:pPr>
                    <w:spacing w:line="276" w:lineRule="auto"/>
                    <w:jc w:val="both"/>
                    <w:rPr>
                      <w:lang w:val="en-GB"/>
                    </w:rPr>
                  </w:pPr>
                  <w:r>
                    <w:rPr>
                      <w:sz w:val="20"/>
                      <w:szCs w:val="20"/>
                      <w:lang w:val="en-GB"/>
                    </w:rPr>
                    <w:t> </w:t>
                  </w:r>
                </w:p>
                <w:p w:rsidR="00DC22AC" w:rsidRPr="00DC22AC" w:rsidRDefault="00DC22AC">
                  <w:pPr>
                    <w:spacing w:line="276" w:lineRule="auto"/>
                    <w:jc w:val="center"/>
                    <w:rPr>
                      <w:lang w:val="en-GB"/>
                    </w:rPr>
                  </w:pPr>
                  <w:r>
                    <w:rPr>
                      <w:sz w:val="20"/>
                      <w:szCs w:val="20"/>
                      <w:lang w:val="en-GB"/>
                    </w:rPr>
                    <w:t>*****</w:t>
                  </w:r>
                </w:p>
                <w:p w:rsidR="00DC22AC" w:rsidRPr="00DC22AC" w:rsidRDefault="00DC22AC">
                  <w:pPr>
                    <w:spacing w:line="276" w:lineRule="auto"/>
                    <w:jc w:val="both"/>
                    <w:rPr>
                      <w:lang w:val="en-GB"/>
                    </w:rPr>
                  </w:pPr>
                  <w:r>
                    <w:rPr>
                      <w:sz w:val="20"/>
                      <w:szCs w:val="20"/>
                      <w:lang w:val="en-GB"/>
                    </w:rPr>
                    <w:t> </w:t>
                  </w:r>
                </w:p>
                <w:p w:rsidR="00DC22AC" w:rsidRPr="00DC22AC" w:rsidRDefault="00DC22AC">
                  <w:pPr>
                    <w:pStyle w:val="Lijstalinea"/>
                    <w:spacing w:line="276" w:lineRule="auto"/>
                    <w:ind w:left="126"/>
                    <w:jc w:val="center"/>
                    <w:rPr>
                      <w:lang w:val="en-GB"/>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r>
                    <w:rPr>
                      <w:i/>
                      <w:iCs/>
                      <w:sz w:val="20"/>
                      <w:szCs w:val="20"/>
                      <w:lang w:val="en-GB" w:eastAsia="en-US"/>
                    </w:rPr>
                    <w:t xml:space="preserve"> </w:t>
                  </w:r>
                </w:p>
                <w:p w:rsidR="00DC22AC" w:rsidRPr="00DC22AC" w:rsidRDefault="00DC22AC">
                  <w:pPr>
                    <w:pStyle w:val="Lijstalinea"/>
                    <w:spacing w:line="276" w:lineRule="auto"/>
                    <w:ind w:left="126"/>
                    <w:jc w:val="center"/>
                    <w:rPr>
                      <w:lang w:val="en-GB"/>
                    </w:rPr>
                  </w:pPr>
                  <w:r>
                    <w:rPr>
                      <w:i/>
                      <w:iCs/>
                      <w:sz w:val="20"/>
                      <w:szCs w:val="20"/>
                      <w:lang w:val="en-GB" w:eastAsia="en-US"/>
                    </w:rPr>
                    <w:t> </w:t>
                  </w:r>
                </w:p>
                <w:p w:rsidR="00DC22AC" w:rsidRDefault="00DC22AC">
                  <w:pPr>
                    <w:pStyle w:val="Lijstalinea"/>
                    <w:spacing w:line="276" w:lineRule="auto"/>
                    <w:ind w:left="126"/>
                    <w:jc w:val="center"/>
                  </w:pPr>
                  <w:hyperlink r:id="rId11" w:history="1">
                    <w:r>
                      <w:rPr>
                        <w:rStyle w:val="Hyperlink"/>
                        <w:i/>
                        <w:iCs/>
                        <w:sz w:val="20"/>
                        <w:szCs w:val="20"/>
                        <w:lang w:val="en-GB" w:eastAsia="en-US"/>
                      </w:rPr>
                      <w:t>www.cfe-eutax.org</w:t>
                    </w:r>
                  </w:hyperlink>
                  <w:r>
                    <w:rPr>
                      <w:i/>
                      <w:iCs/>
                      <w:sz w:val="20"/>
                      <w:szCs w:val="20"/>
                      <w:lang w:eastAsia="en-US"/>
                    </w:rPr>
                    <w:t xml:space="preserve"> </w:t>
                  </w:r>
                </w:p>
              </w:tc>
            </w:tr>
            <w:tr w:rsidR="00DC22AC">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DC22AC">
                    <w:trPr>
                      <w:tblCellSpacing w:w="0" w:type="dxa"/>
                    </w:trPr>
                    <w:tc>
                      <w:tcPr>
                        <w:tcW w:w="0" w:type="auto"/>
                        <w:vAlign w:val="center"/>
                        <w:hideMark/>
                      </w:tcPr>
                      <w:p w:rsidR="00DC22AC" w:rsidRDefault="00DC22AC">
                        <w:pPr>
                          <w:spacing w:line="276" w:lineRule="auto"/>
                        </w:pPr>
                        <w:r>
                          <w:rPr>
                            <w:lang w:val="en-GB"/>
                          </w:rPr>
                          <w:lastRenderedPageBreak/>
                          <w:t> </w:t>
                        </w:r>
                      </w:p>
                    </w:tc>
                  </w:tr>
                </w:tbl>
                <w:p w:rsidR="00DC22AC" w:rsidRDefault="00DC22AC">
                  <w:pPr>
                    <w:rPr>
                      <w:rFonts w:ascii="Times New Roman" w:eastAsia="Times New Roman" w:hAnsi="Times New Roman"/>
                      <w:sz w:val="20"/>
                      <w:szCs w:val="20"/>
                      <w:lang w:eastAsia="nl-NL"/>
                    </w:rPr>
                  </w:pPr>
                </w:p>
              </w:tc>
            </w:tr>
          </w:tbl>
          <w:p w:rsidR="00DC22AC" w:rsidRDefault="00DC22AC">
            <w:pPr>
              <w:rPr>
                <w:rFonts w:ascii="Times New Roman" w:eastAsia="Times New Roman" w:hAnsi="Times New Roman"/>
                <w:sz w:val="20"/>
                <w:szCs w:val="20"/>
                <w:lang w:eastAsia="nl-NL"/>
              </w:rPr>
            </w:pPr>
          </w:p>
        </w:tc>
      </w:tr>
    </w:tbl>
    <w:p w:rsidR="00205106" w:rsidRPr="00DC22AC" w:rsidRDefault="00205106" w:rsidP="00DC22AC">
      <w:bookmarkStart w:id="0" w:name="_GoBack"/>
      <w:bookmarkEnd w:id="0"/>
    </w:p>
    <w:sectPr w:rsidR="00205106" w:rsidRPr="00DC2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61BC3"/>
    <w:multiLevelType w:val="hybridMultilevel"/>
    <w:tmpl w:val="A0E4E2D2"/>
    <w:lvl w:ilvl="0" w:tplc="98D6D09C">
      <w:start w:val="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8A0189D"/>
    <w:multiLevelType w:val="multilevel"/>
    <w:tmpl w:val="FBF44C4C"/>
    <w:lvl w:ilvl="0">
      <w:start w:val="4"/>
      <w:numFmt w:val="bullet"/>
      <w:lvlText w:val="-"/>
      <w:lvlJc w:val="left"/>
      <w:pPr>
        <w:tabs>
          <w:tab w:val="num" w:pos="720"/>
        </w:tabs>
        <w:ind w:left="720" w:hanging="360"/>
      </w:pPr>
      <w:rPr>
        <w:rFonts w:ascii="Calibri" w:eastAsia="Calibri" w:hAnsi="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AC"/>
    <w:rsid w:val="00205106"/>
    <w:rsid w:val="003B7674"/>
    <w:rsid w:val="00B21468"/>
    <w:rsid w:val="00DC2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F2FBF-8939-47DB-BBE8-E3A79DD7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22AC"/>
    <w:pPr>
      <w:spacing w:after="0" w:line="240" w:lineRule="auto"/>
    </w:pPr>
    <w:rPr>
      <w:rFonts w:ascii="Calibri" w:hAnsi="Calibri" w:cs="Times New Roman"/>
    </w:rPr>
  </w:style>
  <w:style w:type="paragraph" w:styleId="Kop4">
    <w:name w:val="heading 4"/>
    <w:basedOn w:val="Standaard"/>
    <w:link w:val="Kop4Char"/>
    <w:uiPriority w:val="9"/>
    <w:semiHidden/>
    <w:unhideWhenUsed/>
    <w:qFormat/>
    <w:rsid w:val="00DC22AC"/>
    <w:pPr>
      <w:spacing w:before="100" w:beforeAutospacing="1" w:after="100" w:afterAutospacing="1"/>
      <w:outlineLvl w:val="3"/>
    </w:pPr>
    <w:rPr>
      <w:rFonts w:ascii="Times New Roman" w:hAnsi="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DC22AC"/>
    <w:rPr>
      <w:rFonts w:ascii="Times New Roman" w:hAnsi="Times New Roman" w:cs="Times New Roman"/>
      <w:b/>
      <w:bCs/>
      <w:sz w:val="24"/>
      <w:szCs w:val="24"/>
      <w:lang w:eastAsia="nl-NL"/>
    </w:rPr>
  </w:style>
  <w:style w:type="character" w:styleId="Hyperlink">
    <w:name w:val="Hyperlink"/>
    <w:basedOn w:val="Standaardalinea-lettertype"/>
    <w:uiPriority w:val="99"/>
    <w:semiHidden/>
    <w:unhideWhenUsed/>
    <w:rsid w:val="00DC22AC"/>
    <w:rPr>
      <w:color w:val="0000FF"/>
      <w:u w:val="single"/>
    </w:rPr>
  </w:style>
  <w:style w:type="paragraph" w:styleId="Lijstalinea">
    <w:name w:val="List Paragraph"/>
    <w:basedOn w:val="Standaard"/>
    <w:uiPriority w:val="34"/>
    <w:qFormat/>
    <w:rsid w:val="00DC22AC"/>
    <w:pPr>
      <w:ind w:left="720"/>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axation_customs/index_e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Neutralise%20the%20effects%20of%20Hybrid%20Mismatch%20Arrangements%20&#8211;%20Treaty%20Aspects%20of%20the%20Work%20on%20Action%202%20of%20the%20BEPS%20Action%20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ctp/aggressive/hybrid-mismatch-arrangements-discussion-draft-domestic-laws-recommendations-march-2014.pdf" TargetMode="External"/><Relationship Id="rId11" Type="http://schemas.openxmlformats.org/officeDocument/2006/relationships/hyperlink" Target="http://www.cfe-eutax.org" TargetMode="External"/><Relationship Id="rId5" Type="http://schemas.openxmlformats.org/officeDocument/2006/relationships/hyperlink" Target="http://www.oecd.org/tax/discussion-drafts-action-2-hybrid-mismatch-arrangements.htm" TargetMode="External"/><Relationship Id="rId10" Type="http://schemas.openxmlformats.org/officeDocument/2006/relationships/hyperlink" Target="http://www.oecd.org/tax/beps-webcasts.htm" TargetMode="External"/><Relationship Id="rId4" Type="http://schemas.openxmlformats.org/officeDocument/2006/relationships/webSettings" Target="webSettings.xml"/><Relationship Id="rId9" Type="http://schemas.openxmlformats.org/officeDocument/2006/relationships/hyperlink" Target="http://www.europarl.europa.eu/document/activities/cont/201403/20140320ATT81380/20140320ATT81380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EEEEAD02.dotm</Template>
  <TotalTime>2</TotalTime>
  <Pages>2</Pages>
  <Words>502</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1</cp:revision>
  <dcterms:created xsi:type="dcterms:W3CDTF">2014-03-25T08:34:00Z</dcterms:created>
  <dcterms:modified xsi:type="dcterms:W3CDTF">2014-03-25T08:36:00Z</dcterms:modified>
</cp:coreProperties>
</file>