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1C" w:rsidRDefault="005A5F1C" w:rsidP="005A5F1C">
      <w:pPr>
        <w:rPr>
          <w:rFonts w:ascii="Calibri" w:hAnsi="Calibri"/>
          <w:sz w:val="22"/>
          <w:szCs w:val="22"/>
          <w:lang w:val="fr-BE"/>
        </w:rPr>
      </w:pPr>
    </w:p>
    <w:tbl>
      <w:tblPr>
        <w:tblW w:w="9696"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96"/>
      </w:tblGrid>
      <w:tr w:rsidR="005A5F1C" w:rsidTr="005A5F1C">
        <w:trPr>
          <w:tblCellSpacing w:w="0" w:type="dxa"/>
        </w:trPr>
        <w:tc>
          <w:tcPr>
            <w:tcW w:w="9696" w:type="dxa"/>
            <w:tcBorders>
              <w:top w:val="nil"/>
              <w:left w:val="nil"/>
              <w:bottom w:val="nil"/>
              <w:right w:val="nil"/>
            </w:tcBorders>
            <w:tcMar>
              <w:top w:w="375" w:type="dxa"/>
              <w:left w:w="300" w:type="dxa"/>
              <w:bottom w:w="300" w:type="dxa"/>
              <w:right w:w="300" w:type="dxa"/>
            </w:tcMar>
            <w:vAlign w:val="center"/>
          </w:tcPr>
          <w:tbl>
            <w:tblPr>
              <w:tblW w:w="9096" w:type="dxa"/>
              <w:tblCellSpacing w:w="0" w:type="dxa"/>
              <w:tblCellMar>
                <w:left w:w="0" w:type="dxa"/>
                <w:right w:w="0" w:type="dxa"/>
              </w:tblCellMar>
              <w:tblLook w:val="04A0" w:firstRow="1" w:lastRow="0" w:firstColumn="1" w:lastColumn="0" w:noHBand="0" w:noVBand="1"/>
            </w:tblPr>
            <w:tblGrid>
              <w:gridCol w:w="9090"/>
              <w:gridCol w:w="6"/>
            </w:tblGrid>
            <w:tr w:rsidR="005A5F1C">
              <w:trPr>
                <w:tblCellSpacing w:w="0" w:type="dxa"/>
              </w:trPr>
              <w:tc>
                <w:tcPr>
                  <w:tcW w:w="9090" w:type="dxa"/>
                  <w:vAlign w:val="center"/>
                  <w:hideMark/>
                </w:tcPr>
                <w:p w:rsidR="005A5F1C" w:rsidRDefault="005A5F1C">
                  <w:pPr>
                    <w:spacing w:line="276" w:lineRule="auto"/>
                    <w:jc w:val="right"/>
                    <w:rPr>
                      <w:rFonts w:ascii="Calibri" w:hAnsi="Calibri"/>
                      <w:sz w:val="22"/>
                      <w:szCs w:val="22"/>
                      <w:lang w:eastAsia="en-US"/>
                    </w:rPr>
                  </w:pPr>
                  <w:r>
                    <w:rPr>
                      <w:rFonts w:ascii="Calibri" w:hAnsi="Calibri"/>
                      <w:noProof/>
                      <w:sz w:val="22"/>
                      <w:szCs w:val="22"/>
                      <w:lang w:eastAsia="nl-NL"/>
                    </w:rPr>
                    <w:drawing>
                      <wp:inline distT="0" distB="0" distL="0" distR="0">
                        <wp:extent cx="5762625" cy="666750"/>
                        <wp:effectExtent l="0" t="0" r="9525" b="0"/>
                        <wp:docPr id="1" name="Afbeelding 1" descr="cid:image001.jpg@01CF5E2D.1CF54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E2D.1CF548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5A5F1C" w:rsidRDefault="005A5F1C">
                  <w:pPr>
                    <w:spacing w:line="276" w:lineRule="auto"/>
                    <w:jc w:val="right"/>
                    <w:rPr>
                      <w:rFonts w:ascii="Calibri" w:hAnsi="Calibri"/>
                      <w:color w:val="ACABAB"/>
                      <w:sz w:val="22"/>
                      <w:szCs w:val="22"/>
                      <w:lang w:eastAsia="en-US"/>
                    </w:rPr>
                  </w:pPr>
                </w:p>
                <w:p w:rsidR="005A5F1C" w:rsidRDefault="005A5F1C">
                  <w:pPr>
                    <w:spacing w:line="276" w:lineRule="auto"/>
                    <w:jc w:val="right"/>
                    <w:rPr>
                      <w:rFonts w:ascii="Calibri" w:hAnsi="Calibri"/>
                      <w:color w:val="ACABAB"/>
                      <w:sz w:val="22"/>
                      <w:szCs w:val="22"/>
                      <w:lang w:eastAsia="en-US"/>
                    </w:rPr>
                  </w:pPr>
                </w:p>
              </w:tc>
            </w:tr>
          </w:tbl>
          <w:p w:rsidR="005A5F1C" w:rsidRDefault="005A5F1C">
            <w:pPr>
              <w:spacing w:line="276" w:lineRule="auto"/>
              <w:rPr>
                <w:rFonts w:ascii="Calibri" w:hAnsi="Calibri"/>
                <w:b/>
                <w:bCs/>
                <w:sz w:val="20"/>
                <w:szCs w:val="20"/>
                <w:lang w:eastAsia="en-US"/>
              </w:rPr>
            </w:pPr>
            <w:proofErr w:type="spellStart"/>
            <w:r>
              <w:rPr>
                <w:rFonts w:ascii="Calibri" w:hAnsi="Calibri"/>
                <w:b/>
                <w:bCs/>
                <w:sz w:val="20"/>
                <w:szCs w:val="20"/>
                <w:lang w:eastAsia="en-US"/>
              </w:rPr>
              <w:t>Fiscal</w:t>
            </w:r>
            <w:proofErr w:type="spellEnd"/>
            <w:r>
              <w:rPr>
                <w:rFonts w:ascii="Calibri" w:hAnsi="Calibri"/>
                <w:b/>
                <w:bCs/>
                <w:sz w:val="20"/>
                <w:szCs w:val="20"/>
                <w:lang w:eastAsia="en-US"/>
              </w:rPr>
              <w:t xml:space="preserve"> </w:t>
            </w:r>
            <w:proofErr w:type="spellStart"/>
            <w:r>
              <w:rPr>
                <w:rFonts w:ascii="Calibri" w:hAnsi="Calibri"/>
                <w:b/>
                <w:bCs/>
                <w:sz w:val="20"/>
                <w:szCs w:val="20"/>
                <w:lang w:eastAsia="en-US"/>
              </w:rPr>
              <w:t>Committee</w:t>
            </w:r>
            <w:proofErr w:type="spellEnd"/>
          </w:p>
          <w:p w:rsidR="005A5F1C" w:rsidRDefault="005A5F1C">
            <w:pPr>
              <w:spacing w:line="276" w:lineRule="auto"/>
              <w:jc w:val="right"/>
              <w:rPr>
                <w:rFonts w:ascii="Calibri" w:hAnsi="Calibri"/>
                <w:b/>
                <w:bCs/>
                <w:sz w:val="20"/>
                <w:szCs w:val="20"/>
                <w:lang w:eastAsia="en-US"/>
              </w:rPr>
            </w:pPr>
            <w:r>
              <w:rPr>
                <w:rFonts w:ascii="Calibri" w:hAnsi="Calibri"/>
                <w:b/>
                <w:bCs/>
                <w:sz w:val="20"/>
                <w:szCs w:val="20"/>
                <w:lang w:eastAsia="en-US"/>
              </w:rPr>
              <w:t>21 April 2014</w:t>
            </w:r>
          </w:p>
          <w:p w:rsidR="005A5F1C" w:rsidRDefault="005A5F1C">
            <w:pPr>
              <w:spacing w:line="276" w:lineRule="auto"/>
              <w:rPr>
                <w:rFonts w:ascii="Calibri" w:hAnsi="Calibri"/>
                <w:sz w:val="20"/>
                <w:szCs w:val="20"/>
              </w:rPr>
            </w:pPr>
          </w:p>
          <w:p w:rsidR="005A5F1C" w:rsidRDefault="005A5F1C">
            <w:pPr>
              <w:spacing w:line="276" w:lineRule="auto"/>
              <w:jc w:val="both"/>
              <w:rPr>
                <w:rFonts w:ascii="Calibri" w:hAnsi="Calibri"/>
                <w:sz w:val="20"/>
                <w:szCs w:val="20"/>
                <w:lang w:val="en-US"/>
              </w:rPr>
            </w:pPr>
          </w:p>
          <w:p w:rsidR="005A5F1C" w:rsidRPr="005A5F1C" w:rsidRDefault="005A5F1C" w:rsidP="006E4AB9">
            <w:pPr>
              <w:pStyle w:val="Lijstalinea"/>
              <w:numPr>
                <w:ilvl w:val="0"/>
                <w:numId w:val="1"/>
              </w:numPr>
              <w:shd w:val="clear" w:color="auto" w:fill="FFFFFF"/>
              <w:spacing w:line="276" w:lineRule="auto"/>
              <w:ind w:left="267" w:hanging="267"/>
              <w:jc w:val="both"/>
              <w:rPr>
                <w:b/>
                <w:bCs/>
                <w:color w:val="222222"/>
                <w:sz w:val="20"/>
                <w:szCs w:val="20"/>
                <w:lang w:val="en-GB"/>
              </w:rPr>
            </w:pPr>
            <w:r w:rsidRPr="005A5F1C">
              <w:rPr>
                <w:b/>
                <w:bCs/>
                <w:color w:val="222222"/>
                <w:sz w:val="20"/>
                <w:szCs w:val="20"/>
                <w:lang w:val="en-GB"/>
              </w:rPr>
              <w:t>Commission requests business input for draft explanatory notes on the VAT treatment of services connected with immovable property</w:t>
            </w:r>
          </w:p>
          <w:p w:rsidR="005A5F1C" w:rsidRPr="005A5F1C" w:rsidRDefault="005A5F1C">
            <w:pPr>
              <w:shd w:val="clear" w:color="auto" w:fill="FFFFFF"/>
              <w:spacing w:line="276" w:lineRule="auto"/>
              <w:jc w:val="both"/>
              <w:rPr>
                <w:rFonts w:ascii="Calibri" w:hAnsi="Calibri"/>
                <w:b/>
                <w:bCs/>
                <w:color w:val="222222"/>
                <w:sz w:val="20"/>
                <w:szCs w:val="20"/>
                <w:lang w:val="en-GB"/>
              </w:rPr>
            </w:pPr>
          </w:p>
          <w:p w:rsidR="005A5F1C" w:rsidRPr="005A5F1C" w:rsidRDefault="005A5F1C">
            <w:pPr>
              <w:pStyle w:val="Lijstalinea"/>
              <w:spacing w:line="276" w:lineRule="auto"/>
              <w:ind w:left="0"/>
              <w:jc w:val="both"/>
              <w:rPr>
                <w:sz w:val="20"/>
                <w:szCs w:val="20"/>
                <w:lang w:val="en-GB"/>
              </w:rPr>
            </w:pPr>
            <w:r w:rsidRPr="005A5F1C">
              <w:rPr>
                <w:sz w:val="20"/>
                <w:szCs w:val="20"/>
                <w:lang w:val="en-GB"/>
              </w:rPr>
              <w:t>The European Commission is planning to issue explanatory notes on the VAT treatment of services connected with immovable property in mid-2015, to help applying the changes to the place of supply rules included in Regulation 1042/2013/EU which will be effective as of 1 January 2017. Business is invited to submit any issues identified in this area and suggestions for solution by 23 May 2014.</w:t>
            </w:r>
          </w:p>
          <w:p w:rsidR="005A5F1C" w:rsidRPr="005A5F1C" w:rsidRDefault="005A5F1C">
            <w:pPr>
              <w:pStyle w:val="Lijstalinea"/>
              <w:spacing w:line="276" w:lineRule="auto"/>
              <w:ind w:left="0"/>
              <w:jc w:val="both"/>
              <w:rPr>
                <w:sz w:val="20"/>
                <w:szCs w:val="20"/>
                <w:lang w:val="en-GB"/>
              </w:rPr>
            </w:pPr>
          </w:p>
          <w:p w:rsidR="005A5F1C" w:rsidRDefault="005A5F1C" w:rsidP="006E4AB9">
            <w:pPr>
              <w:pStyle w:val="Lijstalinea"/>
              <w:numPr>
                <w:ilvl w:val="0"/>
                <w:numId w:val="2"/>
              </w:numPr>
              <w:spacing w:line="276" w:lineRule="auto"/>
              <w:rPr>
                <w:sz w:val="20"/>
                <w:szCs w:val="20"/>
                <w:lang w:val="fr-BE"/>
              </w:rPr>
            </w:pPr>
            <w:r>
              <w:rPr>
                <w:lang w:val="fr-BE"/>
              </w:rPr>
              <w:fldChar w:fldCharType="begin"/>
            </w:r>
            <w:r>
              <w:rPr>
                <w:lang w:val="fr-BE"/>
              </w:rPr>
              <w:instrText xml:space="preserve"> HYPERLINK "http://ec.europa.eu/taxation_customs/resources/documents/taxation/vat/how_vat_works/explanatory-notes-fiscalis.pdf" </w:instrText>
            </w:r>
            <w:r>
              <w:rPr>
                <w:lang w:val="fr-BE"/>
              </w:rPr>
              <w:fldChar w:fldCharType="separate"/>
            </w:r>
            <w:proofErr w:type="spellStart"/>
            <w:r>
              <w:rPr>
                <w:rStyle w:val="Hyperlink"/>
                <w:lang w:val="fr-BE"/>
              </w:rPr>
              <w:t>Request</w:t>
            </w:r>
            <w:proofErr w:type="spellEnd"/>
            <w:r>
              <w:rPr>
                <w:rStyle w:val="Hyperlink"/>
                <w:lang w:val="fr-BE"/>
              </w:rPr>
              <w:t xml:space="preserve"> for input</w:t>
            </w:r>
            <w:r>
              <w:rPr>
                <w:lang w:val="fr-BE"/>
              </w:rPr>
              <w:fldChar w:fldCharType="end"/>
            </w:r>
          </w:p>
          <w:p w:rsidR="005A5F1C" w:rsidRDefault="005A5F1C">
            <w:pPr>
              <w:pStyle w:val="Lijstalinea"/>
              <w:spacing w:line="276" w:lineRule="auto"/>
              <w:ind w:left="0"/>
              <w:jc w:val="both"/>
              <w:rPr>
                <w:sz w:val="20"/>
                <w:szCs w:val="20"/>
              </w:rPr>
            </w:pPr>
          </w:p>
          <w:p w:rsidR="005A5F1C" w:rsidRDefault="005A5F1C">
            <w:pPr>
              <w:pStyle w:val="Lijstalinea"/>
              <w:spacing w:line="276" w:lineRule="auto"/>
              <w:ind w:left="0"/>
              <w:jc w:val="both"/>
              <w:rPr>
                <w:sz w:val="20"/>
                <w:szCs w:val="20"/>
              </w:rPr>
            </w:pPr>
          </w:p>
          <w:p w:rsidR="005A5F1C" w:rsidRPr="005A5F1C" w:rsidRDefault="005A5F1C" w:rsidP="006E4AB9">
            <w:pPr>
              <w:pStyle w:val="Lijstalinea"/>
              <w:numPr>
                <w:ilvl w:val="0"/>
                <w:numId w:val="1"/>
              </w:numPr>
              <w:spacing w:line="276" w:lineRule="auto"/>
              <w:ind w:left="267" w:hanging="283"/>
              <w:rPr>
                <w:b/>
                <w:bCs/>
                <w:sz w:val="20"/>
                <w:szCs w:val="20"/>
                <w:lang w:val="en-GB"/>
              </w:rPr>
            </w:pPr>
            <w:r w:rsidRPr="005A5F1C">
              <w:rPr>
                <w:b/>
                <w:bCs/>
                <w:sz w:val="20"/>
                <w:szCs w:val="20"/>
                <w:lang w:val="en-GB"/>
              </w:rPr>
              <w:t>Commission sees discrimination in Dutch treatment of Dutch-sourced dividends paid to EU/EEA insurance companies</w:t>
            </w:r>
          </w:p>
          <w:p w:rsidR="005A5F1C" w:rsidRPr="005A5F1C" w:rsidRDefault="005A5F1C">
            <w:pPr>
              <w:pStyle w:val="Lijstalinea"/>
              <w:spacing w:line="276" w:lineRule="auto"/>
              <w:rPr>
                <w:b/>
                <w:bCs/>
                <w:sz w:val="20"/>
                <w:szCs w:val="20"/>
                <w:lang w:val="en-GB"/>
              </w:rPr>
            </w:pPr>
          </w:p>
          <w:p w:rsidR="005A5F1C" w:rsidRDefault="005A5F1C">
            <w:pPr>
              <w:pStyle w:val="Lijstalinea"/>
              <w:spacing w:line="276" w:lineRule="auto"/>
              <w:ind w:left="0"/>
              <w:rPr>
                <w:sz w:val="20"/>
                <w:szCs w:val="20"/>
              </w:rPr>
            </w:pPr>
            <w:r w:rsidRPr="005A5F1C">
              <w:rPr>
                <w:sz w:val="20"/>
                <w:szCs w:val="20"/>
                <w:lang w:val="en-GB"/>
              </w:rPr>
              <w:t xml:space="preserve">On 16 April 2014, the European Commission requested the Netherlands to end the discriminatory taxation of dividends received on shares held by insurance companies established in another Member State or in an EEA country. Dutch insurance companies are effectively not taxed on dividends received on shares held in the framework of unit-linked insurances. They can deduct the increase of the obligation to pay the dividends on to their policyholders from the dividends received.  This reduces the corporate tax base concerning these dividends to zero, while any withholding tax is credited. However, insurance companies established in the EU or the EEA receiving Dutch dividends on shares held in the framework of unit-linked insurance on the gross dividends are taxed, without the possibility of a credit. </w:t>
            </w:r>
            <w:r>
              <w:rPr>
                <w:sz w:val="20"/>
                <w:szCs w:val="20"/>
              </w:rPr>
              <w:t xml:space="preserve">The </w:t>
            </w:r>
            <w:proofErr w:type="spellStart"/>
            <w:r>
              <w:rPr>
                <w:sz w:val="20"/>
                <w:szCs w:val="20"/>
              </w:rPr>
              <w:t>request</w:t>
            </w:r>
            <w:proofErr w:type="spellEnd"/>
            <w:r>
              <w:rPr>
                <w:sz w:val="20"/>
                <w:szCs w:val="20"/>
              </w:rPr>
              <w:t xml:space="preserve"> takes the form of a </w:t>
            </w:r>
            <w:proofErr w:type="spellStart"/>
            <w:r>
              <w:rPr>
                <w:sz w:val="20"/>
                <w:szCs w:val="20"/>
              </w:rPr>
              <w:t>reasoned</w:t>
            </w:r>
            <w:proofErr w:type="spellEnd"/>
            <w:r>
              <w:rPr>
                <w:sz w:val="20"/>
                <w:szCs w:val="20"/>
              </w:rPr>
              <w:t xml:space="preserve"> opinion.</w:t>
            </w:r>
          </w:p>
          <w:p w:rsidR="005A5F1C" w:rsidRDefault="005A5F1C">
            <w:pPr>
              <w:pStyle w:val="Lijstalinea"/>
              <w:spacing w:line="276" w:lineRule="auto"/>
              <w:ind w:left="0"/>
              <w:rPr>
                <w:sz w:val="20"/>
                <w:szCs w:val="20"/>
              </w:rPr>
            </w:pPr>
          </w:p>
          <w:p w:rsidR="005A5F1C" w:rsidRDefault="005A5F1C" w:rsidP="006E4AB9">
            <w:pPr>
              <w:pStyle w:val="Lijstalinea"/>
              <w:numPr>
                <w:ilvl w:val="0"/>
                <w:numId w:val="3"/>
              </w:numPr>
              <w:spacing w:line="276" w:lineRule="auto"/>
              <w:rPr>
                <w:sz w:val="20"/>
                <w:szCs w:val="20"/>
              </w:rPr>
            </w:pPr>
            <w:hyperlink r:id="rId7" w:history="1">
              <w:r>
                <w:rPr>
                  <w:rStyle w:val="Hyperlink"/>
                  <w:lang w:val="fr-BE"/>
                </w:rPr>
                <w:t xml:space="preserve">April 2014 </w:t>
              </w:r>
              <w:proofErr w:type="spellStart"/>
              <w:r>
                <w:rPr>
                  <w:rStyle w:val="Hyperlink"/>
                  <w:lang w:val="fr-BE"/>
                </w:rPr>
                <w:t>infringement</w:t>
              </w:r>
              <w:proofErr w:type="spellEnd"/>
              <w:r>
                <w:rPr>
                  <w:rStyle w:val="Hyperlink"/>
                  <w:lang w:val="fr-BE"/>
                </w:rPr>
                <w:t xml:space="preserve"> package</w:t>
              </w:r>
            </w:hyperlink>
          </w:p>
          <w:p w:rsidR="005A5F1C" w:rsidRDefault="005A5F1C">
            <w:pPr>
              <w:pStyle w:val="Lijstalinea"/>
              <w:spacing w:line="276" w:lineRule="auto"/>
              <w:jc w:val="both"/>
              <w:rPr>
                <w:color w:val="000000"/>
                <w:sz w:val="20"/>
                <w:szCs w:val="20"/>
                <w:lang w:val="fr-BE"/>
              </w:rPr>
            </w:pPr>
          </w:p>
          <w:p w:rsidR="005A5F1C" w:rsidRDefault="005A5F1C">
            <w:pPr>
              <w:spacing w:line="276" w:lineRule="auto"/>
              <w:jc w:val="both"/>
              <w:rPr>
                <w:rFonts w:ascii="Calibri" w:hAnsi="Calibri"/>
                <w:color w:val="000000"/>
                <w:sz w:val="20"/>
                <w:szCs w:val="20"/>
                <w:lang w:val="fr-BE"/>
              </w:rPr>
            </w:pPr>
          </w:p>
          <w:p w:rsidR="005A5F1C" w:rsidRPr="005A5F1C" w:rsidRDefault="005A5F1C" w:rsidP="006E4AB9">
            <w:pPr>
              <w:pStyle w:val="Lijstalinea"/>
              <w:numPr>
                <w:ilvl w:val="0"/>
                <w:numId w:val="1"/>
              </w:numPr>
              <w:spacing w:line="276" w:lineRule="auto"/>
              <w:ind w:left="267" w:hanging="283"/>
              <w:jc w:val="both"/>
              <w:rPr>
                <w:b/>
                <w:bCs/>
                <w:color w:val="000000"/>
                <w:sz w:val="20"/>
                <w:szCs w:val="20"/>
                <w:lang w:val="en-GB"/>
              </w:rPr>
            </w:pPr>
            <w:r w:rsidRPr="005A5F1C">
              <w:rPr>
                <w:b/>
                <w:bCs/>
                <w:color w:val="000000"/>
                <w:sz w:val="20"/>
                <w:szCs w:val="20"/>
                <w:lang w:val="en-GB"/>
              </w:rPr>
              <w:t>OECD VAT/GST guidelines endorsed by 86 countries</w:t>
            </w:r>
          </w:p>
          <w:p w:rsidR="005A5F1C" w:rsidRPr="005A5F1C" w:rsidRDefault="005A5F1C">
            <w:pPr>
              <w:spacing w:line="276" w:lineRule="auto"/>
              <w:jc w:val="both"/>
              <w:rPr>
                <w:rFonts w:ascii="Calibri" w:hAnsi="Calibri"/>
                <w:b/>
                <w:bCs/>
                <w:color w:val="000000"/>
                <w:sz w:val="20"/>
                <w:szCs w:val="20"/>
                <w:lang w:val="en-GB"/>
              </w:rPr>
            </w:pPr>
          </w:p>
          <w:p w:rsidR="005A5F1C" w:rsidRPr="005A5F1C" w:rsidRDefault="005A5F1C">
            <w:pPr>
              <w:spacing w:line="276" w:lineRule="auto"/>
              <w:jc w:val="both"/>
              <w:rPr>
                <w:rFonts w:ascii="Calibri" w:hAnsi="Calibri"/>
                <w:color w:val="000000"/>
                <w:sz w:val="20"/>
                <w:szCs w:val="20"/>
                <w:lang w:val="en-GB"/>
              </w:rPr>
            </w:pPr>
            <w:r w:rsidRPr="005A5F1C">
              <w:rPr>
                <w:rFonts w:ascii="Calibri" w:hAnsi="Calibri"/>
                <w:color w:val="000000"/>
                <w:sz w:val="20"/>
                <w:szCs w:val="20"/>
                <w:lang w:val="en-GB"/>
              </w:rPr>
              <w:t>At the OECD´s Global Forum on VAT on 17-18 April 2014, the governments of 86 countries have endorsed the first three chapters of the OECD VAT/GST guidelines for cross-border trade, as adopted by the OECD in January 2014. These Guidelines set standards in two key areas: VAT neutrality and making taxes on B2B trade in services and intangibles destination-based.</w:t>
            </w:r>
          </w:p>
          <w:p w:rsidR="005A5F1C" w:rsidRPr="005A5F1C" w:rsidRDefault="005A5F1C">
            <w:pPr>
              <w:spacing w:line="276" w:lineRule="auto"/>
              <w:jc w:val="both"/>
              <w:rPr>
                <w:rFonts w:ascii="Calibri" w:hAnsi="Calibri"/>
                <w:color w:val="000000"/>
                <w:sz w:val="20"/>
                <w:szCs w:val="20"/>
                <w:lang w:val="en-GB"/>
              </w:rPr>
            </w:pPr>
          </w:p>
          <w:p w:rsidR="005A5F1C" w:rsidRDefault="005A5F1C" w:rsidP="006E4AB9">
            <w:pPr>
              <w:pStyle w:val="Lijstalinea"/>
              <w:numPr>
                <w:ilvl w:val="0"/>
                <w:numId w:val="4"/>
              </w:numPr>
              <w:spacing w:line="276" w:lineRule="auto"/>
              <w:jc w:val="both"/>
              <w:rPr>
                <w:sz w:val="20"/>
                <w:szCs w:val="20"/>
              </w:rPr>
            </w:pPr>
            <w:r>
              <w:rPr>
                <w:sz w:val="20"/>
                <w:szCs w:val="20"/>
                <w:lang w:val="en-US"/>
              </w:rPr>
              <w:fldChar w:fldCharType="begin"/>
            </w:r>
            <w:r>
              <w:rPr>
                <w:sz w:val="20"/>
                <w:szCs w:val="20"/>
                <w:lang w:val="en-US"/>
              </w:rPr>
              <w:instrText xml:space="preserve"> HYPERLINK "http://www.oecd.org/tax/governments-endorse-new-oecd-guidelines-on-applying-vat-across-borders.htm" </w:instrText>
            </w:r>
            <w:r>
              <w:rPr>
                <w:sz w:val="20"/>
                <w:szCs w:val="20"/>
                <w:lang w:val="en-US"/>
              </w:rPr>
              <w:fldChar w:fldCharType="separate"/>
            </w:r>
            <w:r>
              <w:rPr>
                <w:rStyle w:val="Hyperlink"/>
                <w:sz w:val="20"/>
                <w:szCs w:val="20"/>
                <w:lang w:val="en-US"/>
              </w:rPr>
              <w:t>OECD News release</w:t>
            </w:r>
            <w:r>
              <w:rPr>
                <w:sz w:val="20"/>
                <w:szCs w:val="20"/>
                <w:lang w:val="en-US"/>
              </w:rPr>
              <w:fldChar w:fldCharType="end"/>
            </w:r>
            <w:r>
              <w:rPr>
                <w:sz w:val="20"/>
                <w:szCs w:val="20"/>
                <w:lang w:val="en-US"/>
              </w:rPr>
              <w:t xml:space="preserve"> </w:t>
            </w:r>
          </w:p>
          <w:p w:rsidR="005A5F1C" w:rsidRDefault="005A5F1C" w:rsidP="006E4AB9">
            <w:pPr>
              <w:pStyle w:val="Lijstalinea"/>
              <w:numPr>
                <w:ilvl w:val="0"/>
                <w:numId w:val="4"/>
              </w:numPr>
              <w:spacing w:line="276" w:lineRule="auto"/>
              <w:rPr>
                <w:rStyle w:val="Hyperlink"/>
                <w:lang w:val="fr-BE"/>
              </w:rPr>
            </w:pPr>
            <w:hyperlink r:id="rId8" w:tooltip="Home%20%BB%20OECD.org%20%BB%20Directorates%20%BB%20Centre%20for%20Tax%20Policy%20and%20Administration%20%BB%20Consumption%20tax%3A%20International%20VAT/GST%20Guidelines" w:history="1">
              <w:r>
                <w:rPr>
                  <w:rStyle w:val="Hyperlink"/>
                  <w:sz w:val="20"/>
                  <w:szCs w:val="20"/>
                  <w:lang w:val="fr-BE"/>
                </w:rPr>
                <w:t>International Guidelines</w:t>
              </w:r>
            </w:hyperlink>
          </w:p>
          <w:p w:rsidR="005A5F1C" w:rsidRDefault="005A5F1C">
            <w:pPr>
              <w:spacing w:line="276" w:lineRule="auto"/>
              <w:jc w:val="both"/>
              <w:rPr>
                <w:rFonts w:ascii="Calibri" w:hAnsi="Calibri"/>
              </w:rPr>
            </w:pPr>
          </w:p>
          <w:p w:rsidR="005A5F1C" w:rsidRDefault="005A5F1C">
            <w:pPr>
              <w:spacing w:line="276" w:lineRule="auto"/>
              <w:jc w:val="both"/>
              <w:rPr>
                <w:rFonts w:ascii="Calibri" w:hAnsi="Calibri"/>
                <w:b/>
                <w:bCs/>
                <w:sz w:val="20"/>
                <w:szCs w:val="20"/>
              </w:rPr>
            </w:pPr>
          </w:p>
          <w:p w:rsidR="005A5F1C" w:rsidRPr="005A5F1C" w:rsidRDefault="005A5F1C">
            <w:pPr>
              <w:autoSpaceDE w:val="0"/>
              <w:autoSpaceDN w:val="0"/>
              <w:spacing w:line="276" w:lineRule="auto"/>
              <w:jc w:val="both"/>
              <w:rPr>
                <w:rFonts w:ascii="Calibri" w:hAnsi="Calibri"/>
                <w:b/>
                <w:bCs/>
                <w:color w:val="222222"/>
                <w:sz w:val="20"/>
                <w:szCs w:val="20"/>
                <w:lang w:val="en-GB"/>
              </w:rPr>
            </w:pPr>
            <w:r w:rsidRPr="005A5F1C">
              <w:rPr>
                <w:rFonts w:ascii="Calibri" w:hAnsi="Calibri"/>
                <w:b/>
                <w:bCs/>
                <w:color w:val="222222"/>
                <w:sz w:val="20"/>
                <w:szCs w:val="20"/>
                <w:lang w:val="en-GB"/>
              </w:rPr>
              <w:lastRenderedPageBreak/>
              <w:t>4-  OECD publishes comments received on BEPS Action 1 –Tax challenges of the digital economy</w:t>
            </w:r>
          </w:p>
          <w:p w:rsidR="005A5F1C" w:rsidRPr="005A5F1C" w:rsidRDefault="005A5F1C">
            <w:pPr>
              <w:spacing w:line="276" w:lineRule="auto"/>
              <w:jc w:val="both"/>
              <w:rPr>
                <w:rFonts w:ascii="Calibri" w:hAnsi="Calibri"/>
                <w:sz w:val="20"/>
                <w:szCs w:val="20"/>
                <w:lang w:val="en-GB" w:eastAsia="en-US"/>
              </w:rPr>
            </w:pPr>
          </w:p>
          <w:p w:rsidR="005A5F1C" w:rsidRPr="005A5F1C" w:rsidRDefault="005A5F1C">
            <w:pPr>
              <w:spacing w:line="276" w:lineRule="auto"/>
              <w:jc w:val="both"/>
              <w:rPr>
                <w:rFonts w:ascii="Calibri" w:hAnsi="Calibri"/>
                <w:sz w:val="20"/>
                <w:szCs w:val="20"/>
                <w:lang w:val="en-GB" w:eastAsia="en-US"/>
              </w:rPr>
            </w:pPr>
            <w:r w:rsidRPr="005A5F1C">
              <w:rPr>
                <w:rFonts w:ascii="Calibri" w:hAnsi="Calibri"/>
                <w:sz w:val="20"/>
                <w:szCs w:val="20"/>
                <w:lang w:val="en-GB" w:eastAsia="en-US"/>
              </w:rPr>
              <w:t>Comments had to be submitted by 14 April 2014. The input received was published on 16 April.</w:t>
            </w:r>
          </w:p>
          <w:p w:rsidR="005A5F1C" w:rsidRPr="005A5F1C" w:rsidRDefault="005A5F1C">
            <w:pPr>
              <w:spacing w:line="276" w:lineRule="auto"/>
              <w:jc w:val="both"/>
              <w:rPr>
                <w:rFonts w:ascii="Calibri" w:hAnsi="Calibri"/>
                <w:sz w:val="20"/>
                <w:szCs w:val="20"/>
                <w:lang w:val="en-GB" w:eastAsia="en-US"/>
              </w:rPr>
            </w:pPr>
          </w:p>
          <w:p w:rsidR="005A5F1C" w:rsidRDefault="005A5F1C" w:rsidP="006E4AB9">
            <w:pPr>
              <w:pStyle w:val="Lijstalinea"/>
              <w:numPr>
                <w:ilvl w:val="0"/>
                <w:numId w:val="4"/>
              </w:numPr>
              <w:spacing w:line="276" w:lineRule="auto"/>
              <w:jc w:val="both"/>
              <w:rPr>
                <w:rStyle w:val="Hyperlink"/>
                <w:lang w:val="fr-BE"/>
              </w:rPr>
            </w:pPr>
            <w:r>
              <w:rPr>
                <w:sz w:val="20"/>
                <w:szCs w:val="20"/>
                <w:lang w:eastAsia="en-US"/>
              </w:rPr>
              <w:fldChar w:fldCharType="begin"/>
            </w:r>
            <w:r>
              <w:rPr>
                <w:sz w:val="20"/>
                <w:szCs w:val="20"/>
                <w:lang w:eastAsia="en-US"/>
              </w:rPr>
              <w:instrText xml:space="preserve"> HYPERLINK "http://www.oecd.org/tax/comments-action-1-tax-challenges-digital-economy.htm" </w:instrText>
            </w:r>
            <w:r>
              <w:rPr>
                <w:sz w:val="20"/>
                <w:szCs w:val="20"/>
                <w:lang w:eastAsia="en-US"/>
              </w:rPr>
              <w:fldChar w:fldCharType="separate"/>
            </w:r>
            <w:proofErr w:type="spellStart"/>
            <w:r>
              <w:rPr>
                <w:rStyle w:val="Hyperlink"/>
                <w:sz w:val="20"/>
                <w:szCs w:val="20"/>
                <w:lang w:eastAsia="en-US"/>
              </w:rPr>
              <w:t>Comments</w:t>
            </w:r>
            <w:proofErr w:type="spellEnd"/>
            <w:r>
              <w:rPr>
                <w:sz w:val="20"/>
                <w:szCs w:val="20"/>
                <w:lang w:eastAsia="en-US"/>
              </w:rPr>
              <w:fldChar w:fldCharType="end"/>
            </w:r>
          </w:p>
          <w:p w:rsidR="005A5F1C" w:rsidRDefault="005A5F1C" w:rsidP="006E4AB9">
            <w:pPr>
              <w:pStyle w:val="Lijstalinea"/>
              <w:numPr>
                <w:ilvl w:val="0"/>
                <w:numId w:val="4"/>
              </w:numPr>
              <w:spacing w:line="276" w:lineRule="auto"/>
              <w:jc w:val="both"/>
              <w:rPr>
                <w:rStyle w:val="Hyperlink"/>
                <w:sz w:val="20"/>
                <w:szCs w:val="20"/>
                <w:lang w:eastAsia="en-US"/>
              </w:rPr>
            </w:pPr>
            <w:hyperlink r:id="rId9" w:history="1">
              <w:r>
                <w:rPr>
                  <w:rStyle w:val="Hyperlink"/>
                  <w:sz w:val="20"/>
                  <w:szCs w:val="20"/>
                  <w:lang w:eastAsia="en-US"/>
                </w:rPr>
                <w:t xml:space="preserve">OECD </w:t>
              </w:r>
              <w:proofErr w:type="spellStart"/>
              <w:r>
                <w:rPr>
                  <w:rStyle w:val="Hyperlink"/>
                  <w:sz w:val="20"/>
                  <w:szCs w:val="20"/>
                  <w:lang w:eastAsia="en-US"/>
                </w:rPr>
                <w:t>Discussion</w:t>
              </w:r>
              <w:proofErr w:type="spellEnd"/>
              <w:r>
                <w:rPr>
                  <w:rStyle w:val="Hyperlink"/>
                  <w:sz w:val="20"/>
                  <w:szCs w:val="20"/>
                  <w:lang w:eastAsia="en-US"/>
                </w:rPr>
                <w:t xml:space="preserve"> Draft</w:t>
              </w:r>
            </w:hyperlink>
          </w:p>
          <w:p w:rsidR="005A5F1C" w:rsidRDefault="005A5F1C">
            <w:pPr>
              <w:pStyle w:val="Lijstalinea"/>
              <w:spacing w:line="276" w:lineRule="auto"/>
              <w:jc w:val="both"/>
              <w:rPr>
                <w:lang w:val="fr-BE"/>
              </w:rPr>
            </w:pPr>
          </w:p>
          <w:p w:rsidR="005A5F1C" w:rsidRPr="005A5F1C" w:rsidRDefault="005A5F1C">
            <w:pPr>
              <w:spacing w:line="276" w:lineRule="auto"/>
              <w:jc w:val="both"/>
              <w:rPr>
                <w:rFonts w:ascii="Calibri" w:hAnsi="Calibri"/>
                <w:b/>
                <w:bCs/>
                <w:sz w:val="20"/>
                <w:szCs w:val="20"/>
                <w:lang w:val="en-GB" w:eastAsia="en-US"/>
              </w:rPr>
            </w:pPr>
            <w:r w:rsidRPr="005A5F1C">
              <w:rPr>
                <w:rFonts w:ascii="Calibri" w:hAnsi="Calibri"/>
                <w:b/>
                <w:bCs/>
                <w:sz w:val="20"/>
                <w:szCs w:val="20"/>
                <w:lang w:val="en-GB" w:eastAsia="en-US"/>
              </w:rPr>
              <w:t>5- EP votes on country-by-country reporting of tax payments and criminal law rules concerning VAT fraud</w:t>
            </w:r>
          </w:p>
          <w:p w:rsidR="005A5F1C" w:rsidRPr="005A5F1C" w:rsidRDefault="005A5F1C">
            <w:pPr>
              <w:spacing w:line="276" w:lineRule="auto"/>
              <w:jc w:val="both"/>
              <w:rPr>
                <w:rFonts w:ascii="Calibri" w:hAnsi="Calibri"/>
                <w:b/>
                <w:bCs/>
                <w:sz w:val="20"/>
                <w:szCs w:val="20"/>
                <w:lang w:val="en-GB" w:eastAsia="en-US"/>
              </w:rPr>
            </w:pPr>
          </w:p>
          <w:p w:rsidR="005A5F1C" w:rsidRPr="005A5F1C" w:rsidRDefault="005A5F1C">
            <w:pPr>
              <w:spacing w:line="276" w:lineRule="auto"/>
              <w:jc w:val="both"/>
              <w:rPr>
                <w:rFonts w:ascii="Calibri" w:hAnsi="Calibri"/>
                <w:sz w:val="20"/>
                <w:szCs w:val="20"/>
                <w:lang w:val="en-GB" w:eastAsia="en-US"/>
              </w:rPr>
            </w:pPr>
            <w:r w:rsidRPr="005A5F1C">
              <w:rPr>
                <w:rFonts w:ascii="Calibri" w:hAnsi="Calibri"/>
                <w:sz w:val="20"/>
                <w:szCs w:val="20"/>
                <w:lang w:val="en-GB" w:eastAsia="en-US"/>
              </w:rPr>
              <w:t>On 15 and 16 April 2014, in its last working week before the elections, the plenary of the European Parliament adopted the Directive on “Disclosure of non-financial and diversity information by certain large companies and groups”, and a Directive on “Fight against fraud to the Union's financial interests by means of criminal law”. The former introduces a number of reporting duties of large companies. While the vote on this Directive follows a compromise reached with the EU Council in February 2014 (it was agreed that country-by-country reporting of tax payments will not be introduced at this stage) and is likely to be adopted by the Council at one of its next meetings, the positions of the EP and the Council still differ in the latter dossier which contains harmonisation of certain criminal offences and penalties: Unlike the Council, the EP wants that Directive to apply also on VAT fraud.</w:t>
            </w:r>
          </w:p>
          <w:p w:rsidR="005A5F1C" w:rsidRPr="005A5F1C" w:rsidRDefault="005A5F1C">
            <w:pPr>
              <w:spacing w:line="276" w:lineRule="auto"/>
              <w:jc w:val="both"/>
              <w:rPr>
                <w:rFonts w:ascii="Calibri" w:hAnsi="Calibri"/>
                <w:sz w:val="20"/>
                <w:szCs w:val="20"/>
                <w:lang w:val="en-GB" w:eastAsia="en-US"/>
              </w:rPr>
            </w:pPr>
          </w:p>
          <w:p w:rsidR="005A5F1C" w:rsidRPr="005A5F1C" w:rsidRDefault="005A5F1C" w:rsidP="006E4AB9">
            <w:pPr>
              <w:pStyle w:val="Lijstalinea"/>
              <w:numPr>
                <w:ilvl w:val="0"/>
                <w:numId w:val="4"/>
              </w:numPr>
              <w:spacing w:line="276" w:lineRule="auto"/>
              <w:jc w:val="both"/>
              <w:rPr>
                <w:color w:val="0000FF"/>
                <w:sz w:val="20"/>
                <w:szCs w:val="20"/>
                <w:u w:val="single"/>
                <w:lang w:val="en-GB"/>
              </w:rPr>
            </w:pPr>
            <w:r w:rsidRPr="005A5F1C">
              <w:rPr>
                <w:color w:val="0000FF"/>
                <w:sz w:val="20"/>
                <w:szCs w:val="20"/>
                <w:u w:val="single"/>
                <w:lang w:val="en-GB"/>
              </w:rPr>
              <w:t>Disclosure of non-financial and diversity information by certain large companies and groups (p.312 ff)</w:t>
            </w:r>
          </w:p>
          <w:p w:rsidR="005A5F1C" w:rsidRPr="005A5F1C" w:rsidRDefault="005A5F1C" w:rsidP="006E4AB9">
            <w:pPr>
              <w:pStyle w:val="Lijstalinea"/>
              <w:numPr>
                <w:ilvl w:val="0"/>
                <w:numId w:val="4"/>
              </w:numPr>
              <w:spacing w:line="276" w:lineRule="auto"/>
              <w:jc w:val="both"/>
              <w:rPr>
                <w:rStyle w:val="Hyperlink"/>
                <w:lang w:val="en-GB"/>
              </w:rPr>
            </w:pPr>
            <w:hyperlink r:id="rId10" w:history="1">
              <w:r w:rsidRPr="005A5F1C">
                <w:rPr>
                  <w:rStyle w:val="Hyperlink"/>
                  <w:sz w:val="20"/>
                  <w:szCs w:val="20"/>
                  <w:lang w:val="en-GB"/>
                </w:rPr>
                <w:t>Fight against fraud to the Union's financial interests by means of criminal law (p.278 ff)</w:t>
              </w:r>
            </w:hyperlink>
          </w:p>
          <w:p w:rsidR="005A5F1C" w:rsidRPr="005A5F1C" w:rsidRDefault="005A5F1C">
            <w:pPr>
              <w:pStyle w:val="Lijstalinea"/>
              <w:spacing w:line="276" w:lineRule="auto"/>
              <w:jc w:val="both"/>
              <w:rPr>
                <w:lang w:val="en-GB"/>
              </w:rPr>
            </w:pPr>
          </w:p>
          <w:p w:rsidR="005A5F1C" w:rsidRPr="005A5F1C" w:rsidRDefault="005A5F1C">
            <w:pPr>
              <w:spacing w:line="276" w:lineRule="auto"/>
              <w:jc w:val="center"/>
              <w:rPr>
                <w:rFonts w:ascii="Calibri" w:hAnsi="Calibri"/>
                <w:sz w:val="20"/>
                <w:szCs w:val="20"/>
                <w:lang w:val="en-GB" w:eastAsia="en-US"/>
              </w:rPr>
            </w:pPr>
            <w:r w:rsidRPr="005A5F1C">
              <w:rPr>
                <w:rFonts w:ascii="Calibri" w:hAnsi="Calibri"/>
                <w:sz w:val="20"/>
                <w:szCs w:val="20"/>
                <w:lang w:val="en-GB" w:eastAsia="en-US"/>
              </w:rPr>
              <w:t>*****</w:t>
            </w:r>
          </w:p>
          <w:p w:rsidR="005A5F1C" w:rsidRPr="005A5F1C" w:rsidRDefault="005A5F1C">
            <w:pPr>
              <w:spacing w:line="276" w:lineRule="auto"/>
              <w:jc w:val="both"/>
              <w:rPr>
                <w:rFonts w:ascii="Calibri" w:hAnsi="Calibri"/>
                <w:sz w:val="20"/>
                <w:szCs w:val="20"/>
                <w:lang w:val="en-GB" w:eastAsia="en-US"/>
              </w:rPr>
            </w:pPr>
          </w:p>
          <w:p w:rsidR="005A5F1C" w:rsidRPr="005A5F1C" w:rsidRDefault="005A5F1C">
            <w:pPr>
              <w:pStyle w:val="Lijstalinea"/>
              <w:spacing w:line="276" w:lineRule="auto"/>
              <w:ind w:left="126"/>
              <w:jc w:val="center"/>
              <w:rPr>
                <w:i/>
                <w:iCs/>
                <w:sz w:val="20"/>
                <w:szCs w:val="20"/>
                <w:lang w:val="en-GB" w:eastAsia="en-US"/>
              </w:rPr>
            </w:pPr>
            <w:r w:rsidRPr="005A5F1C">
              <w:rPr>
                <w:i/>
                <w:iCs/>
                <w:sz w:val="20"/>
                <w:szCs w:val="20"/>
                <w:lang w:val="en-GB" w:eastAsia="en-US"/>
              </w:rPr>
              <w:t xml:space="preserve">The selection of the remitted material has been prepared by Piergiorgio Valente / Filipa Correia / Rudolf Reibel </w:t>
            </w:r>
          </w:p>
          <w:p w:rsidR="005A5F1C" w:rsidRPr="005A5F1C" w:rsidRDefault="005A5F1C">
            <w:pPr>
              <w:pStyle w:val="Lijstalinea"/>
              <w:spacing w:line="276" w:lineRule="auto"/>
              <w:ind w:left="126"/>
              <w:jc w:val="center"/>
              <w:rPr>
                <w:i/>
                <w:iCs/>
                <w:sz w:val="20"/>
                <w:szCs w:val="20"/>
                <w:lang w:val="en-GB" w:eastAsia="en-US"/>
              </w:rPr>
            </w:pPr>
          </w:p>
          <w:p w:rsidR="005A5F1C" w:rsidRDefault="005A5F1C">
            <w:pPr>
              <w:pStyle w:val="Lijstalinea"/>
              <w:spacing w:line="276" w:lineRule="auto"/>
              <w:ind w:left="126"/>
              <w:jc w:val="center"/>
              <w:rPr>
                <w:i/>
                <w:iCs/>
              </w:rPr>
            </w:pPr>
            <w:hyperlink r:id="rId11" w:history="1">
              <w:r>
                <w:rPr>
                  <w:rStyle w:val="Hyperlink"/>
                  <w:i/>
                  <w:iCs/>
                  <w:sz w:val="20"/>
                  <w:szCs w:val="20"/>
                  <w:lang w:val="en-GB"/>
                </w:rPr>
                <w:t>www.cfe-eutax.org</w:t>
              </w:r>
            </w:hyperlink>
            <w:r>
              <w:rPr>
                <w:i/>
                <w:iCs/>
                <w:lang w:val="fr-BE"/>
              </w:rPr>
              <w:t xml:space="preserve"> </w:t>
            </w:r>
          </w:p>
        </w:tc>
      </w:tr>
      <w:tr w:rsidR="005A5F1C" w:rsidTr="005A5F1C">
        <w:trPr>
          <w:tblCellSpacing w:w="0" w:type="dxa"/>
        </w:trPr>
        <w:tc>
          <w:tcPr>
            <w:tcW w:w="9696"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5A5F1C">
              <w:trPr>
                <w:tblCellSpacing w:w="0" w:type="dxa"/>
              </w:trPr>
              <w:tc>
                <w:tcPr>
                  <w:tcW w:w="0" w:type="auto"/>
                  <w:vAlign w:val="center"/>
                  <w:hideMark/>
                </w:tcPr>
                <w:p w:rsidR="005A5F1C" w:rsidRDefault="005A5F1C">
                  <w:pPr>
                    <w:spacing w:line="276" w:lineRule="auto"/>
                    <w:rPr>
                      <w:rFonts w:ascii="Calibri" w:hAnsi="Calibri"/>
                      <w:sz w:val="22"/>
                      <w:szCs w:val="22"/>
                      <w:lang w:eastAsia="en-US"/>
                    </w:rPr>
                  </w:pPr>
                  <w:r>
                    <w:rPr>
                      <w:rFonts w:ascii="Calibri" w:hAnsi="Calibri"/>
                      <w:sz w:val="22"/>
                      <w:szCs w:val="22"/>
                      <w:lang w:eastAsia="en-US"/>
                    </w:rPr>
                    <w:lastRenderedPageBreak/>
                    <w:t> </w:t>
                  </w:r>
                </w:p>
              </w:tc>
            </w:tr>
          </w:tbl>
          <w:p w:rsidR="005A5F1C" w:rsidRDefault="005A5F1C">
            <w:pPr>
              <w:rPr>
                <w:rFonts w:eastAsia="Times New Roman"/>
                <w:sz w:val="20"/>
                <w:szCs w:val="20"/>
                <w:lang w:eastAsia="nl-NL"/>
              </w:rPr>
            </w:pPr>
          </w:p>
        </w:tc>
      </w:tr>
    </w:tbl>
    <w:p w:rsidR="005A5F1C" w:rsidRDefault="005A5F1C" w:rsidP="005A5F1C">
      <w:pPr>
        <w:rPr>
          <w:rFonts w:ascii="Calibri" w:hAnsi="Calibri"/>
          <w:sz w:val="22"/>
          <w:szCs w:val="22"/>
          <w:lang w:val="fr-BE"/>
        </w:rPr>
      </w:pPr>
    </w:p>
    <w:p w:rsidR="00205106" w:rsidRDefault="00205106">
      <w:bookmarkStart w:id="0" w:name="_GoBack"/>
      <w:bookmarkEnd w:id="0"/>
    </w:p>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61BC3"/>
    <w:multiLevelType w:val="hybridMultilevel"/>
    <w:tmpl w:val="A0E4E2D2"/>
    <w:lvl w:ilvl="0" w:tplc="98D6D09C">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2BE3F63"/>
    <w:multiLevelType w:val="hybridMultilevel"/>
    <w:tmpl w:val="E514D52C"/>
    <w:lvl w:ilvl="0" w:tplc="98D6D09C">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6CF6566"/>
    <w:multiLevelType w:val="hybridMultilevel"/>
    <w:tmpl w:val="0756E900"/>
    <w:lvl w:ilvl="0" w:tplc="C94628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E9F6C22"/>
    <w:multiLevelType w:val="hybridMultilevel"/>
    <w:tmpl w:val="BD2EFE24"/>
    <w:lvl w:ilvl="0" w:tplc="1E2A9C82">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C"/>
    <w:rsid w:val="00205106"/>
    <w:rsid w:val="003B7674"/>
    <w:rsid w:val="005A5F1C"/>
    <w:rsid w:val="00B2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CD3F6-685B-4750-BC59-7853124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5F1C"/>
    <w:pPr>
      <w:spacing w:after="0" w:line="240" w:lineRule="auto"/>
    </w:pPr>
    <w:rPr>
      <w:rFonts w:ascii="Times New Roman" w:hAnsi="Times New Roman" w:cs="Times New Roman"/>
      <w:sz w:val="24"/>
      <w:szCs w:val="24"/>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A5F1C"/>
    <w:rPr>
      <w:color w:val="0000FF"/>
      <w:u w:val="single"/>
    </w:rPr>
  </w:style>
  <w:style w:type="paragraph" w:styleId="Lijstalinea">
    <w:name w:val="List Paragraph"/>
    <w:basedOn w:val="Standaard"/>
    <w:uiPriority w:val="34"/>
    <w:qFormat/>
    <w:rsid w:val="005A5F1C"/>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ctp/consumption/international-vat-gst-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eu/rapid/press-release_MEMO-14-293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5E2D.1CF548D0" TargetMode="External"/><Relationship Id="rId11" Type="http://schemas.openxmlformats.org/officeDocument/2006/relationships/hyperlink" Target="http://www.cfe-eutax.org" TargetMode="External"/><Relationship Id="rId5" Type="http://schemas.openxmlformats.org/officeDocument/2006/relationships/image" Target="media/image1.jpeg"/><Relationship Id="rId10" Type="http://schemas.openxmlformats.org/officeDocument/2006/relationships/hyperlink" Target="http://www.europarl.europa.eu/sides/getDoc.do?pubRef=-//EP//NONSGML+TA+20140416+SIT-02+DOC+WORD+V0//EN&amp;language=EN" TargetMode="External"/><Relationship Id="rId4" Type="http://schemas.openxmlformats.org/officeDocument/2006/relationships/webSettings" Target="webSettings.xml"/><Relationship Id="rId9" Type="http://schemas.openxmlformats.org/officeDocument/2006/relationships/hyperlink" Target="http://www.oecd.org/ctp/tax-challenges-digital-economy-discussion-draft-march-201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A53E7EC6.dotm</Template>
  <TotalTime>0</TotalTime>
  <Pages>2</Pages>
  <Words>702</Words>
  <Characters>3866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2014-05-09T13:35:00Z</dcterms:created>
  <dcterms:modified xsi:type="dcterms:W3CDTF">2014-05-09T13:35:00Z</dcterms:modified>
</cp:coreProperties>
</file>