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0"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10172"/>
      </w:tblGrid>
      <w:tr w:rsidR="001F6EB5" w:rsidRPr="001F6EB5" w:rsidTr="001F6EB5">
        <w:trPr>
          <w:trHeight w:val="1924"/>
          <w:tblCellSpacing w:w="0" w:type="dxa"/>
        </w:trPr>
        <w:tc>
          <w:tcPr>
            <w:tcW w:w="9781" w:type="dxa"/>
            <w:tcBorders>
              <w:top w:val="nil"/>
              <w:left w:val="nil"/>
              <w:bottom w:val="nil"/>
              <w:right w:val="nil"/>
            </w:tcBorders>
            <w:tcMar>
              <w:top w:w="375" w:type="dxa"/>
              <w:left w:w="300" w:type="dxa"/>
              <w:bottom w:w="300" w:type="dxa"/>
              <w:right w:w="300" w:type="dxa"/>
            </w:tcMar>
            <w:vAlign w:val="center"/>
            <w:hideMark/>
          </w:tcPr>
          <w:tbl>
            <w:tblPr>
              <w:tblW w:w="9105" w:type="dxa"/>
              <w:tblCellSpacing w:w="0" w:type="dxa"/>
              <w:tblCellMar>
                <w:left w:w="0" w:type="dxa"/>
                <w:right w:w="0" w:type="dxa"/>
              </w:tblCellMar>
              <w:tblLook w:val="04A0" w:firstRow="1" w:lastRow="0" w:firstColumn="1" w:lastColumn="0" w:noHBand="0" w:noVBand="1"/>
            </w:tblPr>
            <w:tblGrid>
              <w:gridCol w:w="9090"/>
              <w:gridCol w:w="46"/>
            </w:tblGrid>
            <w:tr w:rsidR="001F6EB5">
              <w:trPr>
                <w:trHeight w:val="76"/>
                <w:tblCellSpacing w:w="0" w:type="dxa"/>
              </w:trPr>
              <w:tc>
                <w:tcPr>
                  <w:tcW w:w="9094" w:type="dxa"/>
                  <w:vAlign w:val="center"/>
                  <w:hideMark/>
                </w:tcPr>
                <w:p w:rsidR="001F6EB5" w:rsidRDefault="001F6EB5">
                  <w:pPr>
                    <w:spacing w:line="276" w:lineRule="auto"/>
                    <w:jc w:val="both"/>
                  </w:pPr>
                  <w:r w:rsidRPr="001F6EB5">
                    <w:rPr>
                      <w:noProof/>
                      <w:sz w:val="20"/>
                      <w:szCs w:val="20"/>
                      <w:lang w:eastAsia="nl-NL"/>
                    </w:rPr>
                    <w:drawing>
                      <wp:inline distT="0" distB="0" distL="0" distR="0">
                        <wp:extent cx="5762625" cy="666750"/>
                        <wp:effectExtent l="0" t="0" r="9525" b="0"/>
                        <wp:docPr id="3" name="Afbeelding 3" descr="C:\Users\cardy\AppData\Local\Microsoft\Windows\Temporary Internet Files\Content.Outlook\SORQA1FN\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dy\AppData\Local\Microsoft\Windows\Temporary Internet Files\Content.Outlook\SORQA1FN\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tc>
              <w:tc>
                <w:tcPr>
                  <w:tcW w:w="6" w:type="dxa"/>
                  <w:vAlign w:val="center"/>
                  <w:hideMark/>
                </w:tcPr>
                <w:p w:rsidR="001F6EB5" w:rsidRDefault="001F6EB5">
                  <w:pPr>
                    <w:spacing w:line="276" w:lineRule="auto"/>
                    <w:jc w:val="both"/>
                  </w:pPr>
                  <w:r>
                    <w:rPr>
                      <w:color w:val="ACABAB"/>
                      <w:sz w:val="20"/>
                      <w:szCs w:val="20"/>
                    </w:rPr>
                    <w:t> </w:t>
                  </w:r>
                </w:p>
                <w:p w:rsidR="001F6EB5" w:rsidRDefault="001F6EB5">
                  <w:pPr>
                    <w:spacing w:line="276" w:lineRule="auto"/>
                    <w:jc w:val="both"/>
                  </w:pPr>
                  <w:r>
                    <w:rPr>
                      <w:color w:val="ACABAB"/>
                      <w:sz w:val="20"/>
                      <w:szCs w:val="20"/>
                    </w:rPr>
                    <w:t> </w:t>
                  </w:r>
                </w:p>
              </w:tc>
            </w:tr>
          </w:tbl>
          <w:p w:rsidR="001F6EB5" w:rsidRDefault="001F6EB5">
            <w:pPr>
              <w:shd w:val="clear" w:color="auto" w:fill="FEFEFE"/>
              <w:spacing w:line="276" w:lineRule="auto"/>
              <w:ind w:right="2925"/>
              <w:jc w:val="both"/>
            </w:pPr>
            <w:r>
              <w:rPr>
                <w:b/>
                <w:bCs/>
                <w:color w:val="000000"/>
                <w:sz w:val="20"/>
                <w:szCs w:val="20"/>
              </w:rPr>
              <w:t xml:space="preserve">                                                                                                                                                    </w:t>
            </w:r>
          </w:p>
          <w:p w:rsidR="001F6EB5" w:rsidRDefault="001F6EB5">
            <w:pPr>
              <w:shd w:val="clear" w:color="auto" w:fill="FEFEFE"/>
              <w:spacing w:line="276" w:lineRule="auto"/>
              <w:jc w:val="right"/>
            </w:pPr>
            <w:r>
              <w:rPr>
                <w:b/>
                <w:bCs/>
                <w:color w:val="000000"/>
                <w:sz w:val="20"/>
                <w:szCs w:val="20"/>
              </w:rPr>
              <w:t xml:space="preserve">14 </w:t>
            </w:r>
            <w:proofErr w:type="spellStart"/>
            <w:r>
              <w:rPr>
                <w:b/>
                <w:bCs/>
                <w:color w:val="000000"/>
                <w:sz w:val="20"/>
                <w:szCs w:val="20"/>
              </w:rPr>
              <w:t>March</w:t>
            </w:r>
            <w:proofErr w:type="spellEnd"/>
            <w:r>
              <w:rPr>
                <w:b/>
                <w:bCs/>
                <w:color w:val="000000"/>
                <w:sz w:val="20"/>
                <w:szCs w:val="20"/>
              </w:rPr>
              <w:t xml:space="preserve"> 2016</w:t>
            </w:r>
          </w:p>
          <w:p w:rsidR="001F6EB5" w:rsidRDefault="001F6EB5" w:rsidP="001C0BB5">
            <w:pPr>
              <w:pStyle w:val="Lijstalinea"/>
              <w:numPr>
                <w:ilvl w:val="0"/>
                <w:numId w:val="1"/>
              </w:numPr>
              <w:spacing w:line="276" w:lineRule="auto"/>
              <w:jc w:val="both"/>
            </w:pPr>
            <w:r>
              <w:rPr>
                <w:rStyle w:val="Hyperlink"/>
                <w:b/>
                <w:bCs/>
                <w:color w:val="000000"/>
                <w:sz w:val="20"/>
                <w:szCs w:val="20"/>
                <w:u w:val="none"/>
              </w:rPr>
              <w:t xml:space="preserve">CFE </w:t>
            </w:r>
            <w:proofErr w:type="spellStart"/>
            <w:r>
              <w:rPr>
                <w:rStyle w:val="Hyperlink"/>
                <w:b/>
                <w:bCs/>
                <w:color w:val="000000"/>
                <w:sz w:val="20"/>
                <w:szCs w:val="20"/>
                <w:u w:val="none"/>
              </w:rPr>
              <w:t>Annual</w:t>
            </w:r>
            <w:proofErr w:type="spellEnd"/>
            <w:r>
              <w:rPr>
                <w:rStyle w:val="Hyperlink"/>
                <w:b/>
                <w:bCs/>
                <w:color w:val="000000"/>
                <w:sz w:val="20"/>
                <w:szCs w:val="20"/>
                <w:u w:val="none"/>
              </w:rPr>
              <w:t xml:space="preserve"> Report 2015 </w:t>
            </w:r>
            <w:proofErr w:type="spellStart"/>
            <w:r>
              <w:rPr>
                <w:rStyle w:val="Hyperlink"/>
                <w:b/>
                <w:bCs/>
                <w:color w:val="000000"/>
                <w:sz w:val="20"/>
                <w:szCs w:val="20"/>
                <w:u w:val="none"/>
              </w:rPr>
              <w:t>published</w:t>
            </w:r>
            <w:proofErr w:type="spellEnd"/>
          </w:p>
          <w:p w:rsidR="001F6EB5" w:rsidRDefault="001F6EB5">
            <w:pPr>
              <w:spacing w:line="276" w:lineRule="auto"/>
              <w:ind w:left="834" w:hanging="141"/>
              <w:jc w:val="both"/>
            </w:pPr>
            <w:r>
              <w:rPr>
                <w:rStyle w:val="Hyperlink"/>
                <w:color w:val="000000"/>
                <w:sz w:val="20"/>
                <w:szCs w:val="20"/>
                <w:u w:val="none"/>
              </w:rPr>
              <w:t> </w:t>
            </w:r>
          </w:p>
          <w:p w:rsidR="001F6EB5" w:rsidRPr="001F6EB5" w:rsidRDefault="001F6EB5">
            <w:pPr>
              <w:spacing w:line="276" w:lineRule="auto"/>
              <w:ind w:left="834" w:hanging="141"/>
              <w:jc w:val="both"/>
              <w:rPr>
                <w:lang w:val="en-US"/>
              </w:rPr>
            </w:pPr>
            <w:r>
              <w:rPr>
                <w:rStyle w:val="Hyperlink"/>
                <w:color w:val="000000"/>
                <w:sz w:val="20"/>
                <w:szCs w:val="20"/>
                <w:u w:val="none"/>
                <w:lang w:val="en-GB"/>
              </w:rPr>
              <w:t xml:space="preserve">Click </w:t>
            </w:r>
            <w:hyperlink r:id="rId6" w:history="1">
              <w:r>
                <w:rPr>
                  <w:rStyle w:val="Hyperlink"/>
                  <w:sz w:val="20"/>
                  <w:szCs w:val="20"/>
                  <w:lang w:val="en-GB"/>
                </w:rPr>
                <w:t>here</w:t>
              </w:r>
            </w:hyperlink>
            <w:r>
              <w:rPr>
                <w:rStyle w:val="Hyperlink"/>
                <w:color w:val="000000"/>
                <w:sz w:val="20"/>
                <w:szCs w:val="20"/>
                <w:u w:val="none"/>
                <w:lang w:val="en-GB"/>
              </w:rPr>
              <w:t xml:space="preserve"> to read the Report on the CFE website.</w:t>
            </w:r>
          </w:p>
          <w:p w:rsidR="001F6EB5" w:rsidRPr="001F6EB5" w:rsidRDefault="001F6EB5">
            <w:pPr>
              <w:spacing w:line="276" w:lineRule="auto"/>
              <w:jc w:val="both"/>
              <w:rPr>
                <w:lang w:val="en-US"/>
              </w:rPr>
            </w:pPr>
            <w:r>
              <w:rPr>
                <w:rStyle w:val="Hyperlink"/>
                <w:rFonts w:ascii="Times New Roman" w:hAnsi="Times New Roman"/>
                <w:color w:val="000000"/>
                <w:sz w:val="24"/>
                <w:szCs w:val="24"/>
                <w:u w:val="none"/>
                <w:lang w:val="en-GB"/>
              </w:rPr>
              <w:t> </w:t>
            </w:r>
          </w:p>
          <w:p w:rsidR="001F6EB5" w:rsidRPr="001F6EB5" w:rsidRDefault="001F6EB5" w:rsidP="001C0BB5">
            <w:pPr>
              <w:pStyle w:val="Lijstalinea"/>
              <w:numPr>
                <w:ilvl w:val="0"/>
                <w:numId w:val="2"/>
              </w:numPr>
              <w:spacing w:line="276" w:lineRule="auto"/>
              <w:ind w:right="266"/>
              <w:jc w:val="both"/>
              <w:rPr>
                <w:lang w:val="en-US"/>
              </w:rPr>
            </w:pPr>
            <w:r>
              <w:rPr>
                <w:rStyle w:val="Hyperlink"/>
                <w:b/>
                <w:bCs/>
                <w:color w:val="000000"/>
                <w:sz w:val="20"/>
                <w:szCs w:val="20"/>
                <w:u w:val="none"/>
                <w:lang w:val="en-GB"/>
              </w:rPr>
              <w:t>EU Council reaches agreement on country-by-country reporting of multinationals</w:t>
            </w:r>
          </w:p>
          <w:p w:rsidR="001F6EB5" w:rsidRPr="001F6EB5" w:rsidRDefault="001F6EB5">
            <w:pPr>
              <w:pStyle w:val="Lijstalinea"/>
              <w:spacing w:line="276" w:lineRule="auto"/>
              <w:jc w:val="both"/>
              <w:rPr>
                <w:lang w:val="en-US"/>
              </w:rPr>
            </w:pPr>
            <w:r>
              <w:rPr>
                <w:rStyle w:val="Hyperlink"/>
                <w:color w:val="000000"/>
                <w:sz w:val="20"/>
                <w:szCs w:val="20"/>
                <w:u w:val="none"/>
                <w:lang w:val="en-GB"/>
              </w:rPr>
              <w:t> </w:t>
            </w:r>
          </w:p>
          <w:p w:rsidR="001F6EB5" w:rsidRPr="001F6EB5" w:rsidRDefault="001F6EB5">
            <w:pPr>
              <w:pStyle w:val="Lijstalinea"/>
              <w:spacing w:line="276" w:lineRule="auto"/>
              <w:ind w:right="266"/>
              <w:jc w:val="both"/>
              <w:rPr>
                <w:lang w:val="en-US"/>
              </w:rPr>
            </w:pPr>
            <w:r>
              <w:rPr>
                <w:rStyle w:val="Hyperlink"/>
                <w:color w:val="000000"/>
                <w:sz w:val="20"/>
                <w:szCs w:val="20"/>
                <w:u w:val="none"/>
                <w:lang w:val="en-GB"/>
              </w:rPr>
              <w:t>EU ministers reached a political agreement at the ECOFIN Council on 8 March 2016 on mandatory filing of country-by-country reports (</w:t>
            </w:r>
            <w:proofErr w:type="spellStart"/>
            <w:r>
              <w:rPr>
                <w:rStyle w:val="Hyperlink"/>
                <w:color w:val="000000"/>
                <w:sz w:val="20"/>
                <w:szCs w:val="20"/>
                <w:u w:val="none"/>
                <w:lang w:val="en-GB"/>
              </w:rPr>
              <w:t>CbCR</w:t>
            </w:r>
            <w:proofErr w:type="spellEnd"/>
            <w:r>
              <w:rPr>
                <w:rStyle w:val="Hyperlink"/>
                <w:color w:val="000000"/>
                <w:sz w:val="20"/>
                <w:szCs w:val="20"/>
                <w:u w:val="none"/>
                <w:lang w:val="en-GB"/>
              </w:rPr>
              <w:t>) by multinational companies to tax administrations and exchange of this information among these. The deal is still subject to parliamentary scrutiny in the UK.</w:t>
            </w:r>
          </w:p>
          <w:p w:rsidR="001F6EB5" w:rsidRPr="001F6EB5" w:rsidRDefault="001F6EB5">
            <w:pPr>
              <w:pStyle w:val="Lijstalinea"/>
              <w:spacing w:line="276" w:lineRule="auto"/>
              <w:ind w:right="266"/>
              <w:jc w:val="both"/>
              <w:rPr>
                <w:lang w:val="en-US"/>
              </w:rPr>
            </w:pPr>
            <w:r>
              <w:rPr>
                <w:rStyle w:val="Hyperlink"/>
                <w:color w:val="000000"/>
                <w:sz w:val="20"/>
                <w:szCs w:val="20"/>
                <w:u w:val="none"/>
                <w:lang w:val="en-GB"/>
              </w:rPr>
              <w:t>The new rules will address multinational companies which operate across EU member states.</w:t>
            </w:r>
            <w:r>
              <w:rPr>
                <w:lang w:val="en-GB"/>
              </w:rPr>
              <w:t xml:space="preserve"> </w:t>
            </w:r>
            <w:r>
              <w:rPr>
                <w:sz w:val="20"/>
                <w:szCs w:val="20"/>
                <w:lang w:val="en-GB"/>
              </w:rPr>
              <w:t>They</w:t>
            </w:r>
            <w:r>
              <w:rPr>
                <w:rStyle w:val="Hyperlink"/>
                <w:color w:val="000000"/>
                <w:sz w:val="20"/>
                <w:szCs w:val="20"/>
                <w:u w:val="none"/>
                <w:lang w:val="en-GB"/>
              </w:rPr>
              <w:t xml:space="preserve"> will have to provide certain, tax-related information on an annual basis for each tax jurisdiction in which they do business.  Once the automatic information exchange will be operational after a 12 months period, it should facilitate the application of taxation to companies where they make their profits.</w:t>
            </w:r>
          </w:p>
          <w:p w:rsidR="001F6EB5" w:rsidRPr="001F6EB5" w:rsidRDefault="001F6EB5">
            <w:pPr>
              <w:pStyle w:val="Lijstalinea"/>
              <w:spacing w:line="276" w:lineRule="auto"/>
              <w:ind w:right="266"/>
              <w:jc w:val="both"/>
              <w:rPr>
                <w:lang w:val="en-US"/>
              </w:rPr>
            </w:pPr>
            <w:r>
              <w:rPr>
                <w:rStyle w:val="Hyperlink"/>
                <w:color w:val="000000"/>
                <w:sz w:val="20"/>
                <w:szCs w:val="20"/>
                <w:u w:val="none"/>
                <w:lang w:val="en-GB"/>
              </w:rPr>
              <w:t xml:space="preserve">The agreement of Ministers follows a proposal by the European Commission as part of its Anti-Tax Avoidance Package adopted on 28 January 2016. It goes along with recent moves on transparency in corporate taxation at global level. In particular, they will add to the implementation of OECD guidelines on Base Erosion and Profit Shifting (BEPS). </w:t>
            </w:r>
          </w:p>
          <w:p w:rsidR="001F6EB5" w:rsidRPr="001F6EB5" w:rsidRDefault="001F6EB5">
            <w:pPr>
              <w:pStyle w:val="Lijstalinea"/>
              <w:spacing w:line="276" w:lineRule="auto"/>
              <w:ind w:right="266"/>
              <w:jc w:val="both"/>
              <w:rPr>
                <w:lang w:val="en-US"/>
              </w:rPr>
            </w:pPr>
            <w:r>
              <w:rPr>
                <w:rStyle w:val="Hyperlink"/>
                <w:color w:val="000000"/>
                <w:sz w:val="20"/>
                <w:szCs w:val="20"/>
                <w:u w:val="none"/>
                <w:lang w:val="en-GB"/>
              </w:rPr>
              <w:t xml:space="preserve">On the separate, but linked issue of public </w:t>
            </w:r>
            <w:proofErr w:type="spellStart"/>
            <w:r>
              <w:rPr>
                <w:rStyle w:val="Hyperlink"/>
                <w:color w:val="000000"/>
                <w:sz w:val="20"/>
                <w:szCs w:val="20"/>
                <w:u w:val="none"/>
                <w:lang w:val="en-GB"/>
              </w:rPr>
              <w:t>CbCR</w:t>
            </w:r>
            <w:proofErr w:type="spellEnd"/>
            <w:r>
              <w:rPr>
                <w:rStyle w:val="Hyperlink"/>
                <w:color w:val="000000"/>
                <w:sz w:val="20"/>
                <w:szCs w:val="20"/>
                <w:u w:val="none"/>
                <w:lang w:val="en-GB"/>
              </w:rPr>
              <w:t>, the European Commission is currently finalising its impact assessment and will present a proposal in April.</w:t>
            </w:r>
            <w:bookmarkStart w:id="0" w:name="_GoBack"/>
            <w:bookmarkEnd w:id="0"/>
          </w:p>
          <w:p w:rsidR="001F6EB5" w:rsidRPr="001F6EB5" w:rsidRDefault="001F6EB5">
            <w:pPr>
              <w:pStyle w:val="Lijstalinea"/>
              <w:spacing w:line="276" w:lineRule="auto"/>
              <w:jc w:val="both"/>
              <w:rPr>
                <w:lang w:val="en-US"/>
              </w:rPr>
            </w:pPr>
            <w:r>
              <w:rPr>
                <w:rStyle w:val="Hyperlink"/>
                <w:color w:val="000000"/>
                <w:sz w:val="20"/>
                <w:szCs w:val="20"/>
                <w:u w:val="none"/>
                <w:lang w:val="en-GB"/>
              </w:rPr>
              <w:t> </w:t>
            </w:r>
          </w:p>
          <w:p w:rsidR="001F6EB5" w:rsidRDefault="001F6EB5">
            <w:pPr>
              <w:pStyle w:val="Lijstalinea"/>
              <w:spacing w:line="276" w:lineRule="auto"/>
              <w:jc w:val="both"/>
            </w:pPr>
            <w:hyperlink r:id="rId7" w:history="1">
              <w:r>
                <w:rPr>
                  <w:rStyle w:val="Hyperlink"/>
                  <w:color w:val="auto"/>
                  <w:sz w:val="20"/>
                  <w:szCs w:val="20"/>
                  <w:u w:val="none"/>
                </w:rPr>
                <w:t>-</w:t>
              </w:r>
            </w:hyperlink>
            <w:r>
              <w:rPr>
                <w:rStyle w:val="Hyperlink"/>
                <w:color w:val="auto"/>
                <w:sz w:val="20"/>
                <w:szCs w:val="20"/>
                <w:u w:val="none"/>
              </w:rPr>
              <w:t xml:space="preserve"> Press release: </w:t>
            </w:r>
            <w:hyperlink r:id="rId8" w:history="1">
              <w:r>
                <w:rPr>
                  <w:rStyle w:val="Hyperlink"/>
                  <w:sz w:val="20"/>
                  <w:szCs w:val="20"/>
                </w:rPr>
                <w:t>EN</w:t>
              </w:r>
            </w:hyperlink>
          </w:p>
          <w:p w:rsidR="001F6EB5" w:rsidRDefault="001F6EB5">
            <w:pPr>
              <w:pStyle w:val="Tekstzonderopmaak"/>
              <w:spacing w:line="276" w:lineRule="auto"/>
            </w:pPr>
            <w:r>
              <w:rPr>
                <w:lang w:val="fr-BE"/>
              </w:rPr>
              <w:t> </w:t>
            </w:r>
          </w:p>
          <w:p w:rsidR="001F6EB5" w:rsidRPr="001F6EB5" w:rsidRDefault="001F6EB5" w:rsidP="001C0BB5">
            <w:pPr>
              <w:pStyle w:val="Lijstalinea"/>
              <w:numPr>
                <w:ilvl w:val="0"/>
                <w:numId w:val="2"/>
              </w:numPr>
              <w:spacing w:line="276" w:lineRule="auto"/>
              <w:jc w:val="both"/>
              <w:rPr>
                <w:lang w:val="en-US"/>
              </w:rPr>
            </w:pPr>
            <w:r>
              <w:rPr>
                <w:rStyle w:val="Hyperlink"/>
                <w:b/>
                <w:bCs/>
                <w:color w:val="000000"/>
                <w:sz w:val="20"/>
                <w:szCs w:val="20"/>
                <w:u w:val="none"/>
                <w:lang w:val="en-GB"/>
              </w:rPr>
              <w:t>Call for reinforcing the Code of Conduct on business taxation</w:t>
            </w:r>
          </w:p>
          <w:p w:rsidR="001F6EB5" w:rsidRPr="001F6EB5" w:rsidRDefault="001F6EB5">
            <w:pPr>
              <w:pStyle w:val="Lijstalinea"/>
              <w:spacing w:line="276" w:lineRule="auto"/>
              <w:jc w:val="both"/>
              <w:rPr>
                <w:lang w:val="en-US"/>
              </w:rPr>
            </w:pPr>
            <w:r>
              <w:rPr>
                <w:rStyle w:val="Hyperlink"/>
                <w:color w:val="000000"/>
                <w:sz w:val="20"/>
                <w:szCs w:val="20"/>
                <w:u w:val="none"/>
                <w:lang w:val="en-GB"/>
              </w:rPr>
              <w:t> </w:t>
            </w:r>
          </w:p>
          <w:p w:rsidR="001F6EB5" w:rsidRPr="001F6EB5" w:rsidRDefault="001F6EB5">
            <w:pPr>
              <w:pStyle w:val="Lijstalinea"/>
              <w:spacing w:line="276" w:lineRule="auto"/>
              <w:ind w:right="266"/>
              <w:jc w:val="both"/>
              <w:rPr>
                <w:lang w:val="en-US"/>
              </w:rPr>
            </w:pPr>
            <w:r>
              <w:rPr>
                <w:rStyle w:val="Hyperlink"/>
                <w:color w:val="000000"/>
                <w:sz w:val="20"/>
                <w:szCs w:val="20"/>
                <w:u w:val="none"/>
                <w:lang w:val="en-GB"/>
              </w:rPr>
              <w:t>On 8 March 2016, the Council of EU finance ministers adopted conclusions on the future of the working group overseeing the implementation of the Code of Conduct on business taxation. The Group is called on to speed up its decision-making process and become more transparent. The Council conclusions foresee an enhancement of the group’s governance, transparency and working methods. Its efficiency should be improved by speeding up the assessment of potentially harmful tax regimes, with an earlier and more frequent involvement of the Council. Information to the public on the group's ongoing and past work should be enhanced. A decision on the revision of the group’s mandate should be taken by the end of June 2016.</w:t>
            </w:r>
          </w:p>
          <w:p w:rsidR="001F6EB5" w:rsidRPr="001F6EB5" w:rsidRDefault="001F6EB5">
            <w:pPr>
              <w:pStyle w:val="Lijstalinea"/>
              <w:spacing w:line="276" w:lineRule="auto"/>
              <w:ind w:right="266"/>
              <w:jc w:val="both"/>
              <w:rPr>
                <w:lang w:val="en-US"/>
              </w:rPr>
            </w:pPr>
            <w:r>
              <w:rPr>
                <w:rStyle w:val="Hyperlink"/>
                <w:color w:val="000000"/>
                <w:sz w:val="20"/>
                <w:szCs w:val="20"/>
                <w:u w:val="none"/>
                <w:lang w:val="en-GB"/>
              </w:rPr>
              <w:t xml:space="preserve">These plans to beef up the Code of Conduct Group follow-up on the Lux Leaks controversy and the Commission’s state aid probes into the tax affairs of Apple and Amazon. The plans have been criticised as unambitious and disappointing by German Green MEP Sven </w:t>
            </w:r>
            <w:proofErr w:type="spellStart"/>
            <w:r>
              <w:rPr>
                <w:rStyle w:val="Hyperlink"/>
                <w:color w:val="000000"/>
                <w:sz w:val="20"/>
                <w:szCs w:val="20"/>
                <w:u w:val="none"/>
                <w:lang w:val="en-GB"/>
              </w:rPr>
              <w:t>Giegold</w:t>
            </w:r>
            <w:proofErr w:type="spellEnd"/>
            <w:r>
              <w:rPr>
                <w:rStyle w:val="Hyperlink"/>
                <w:color w:val="000000"/>
                <w:sz w:val="20"/>
                <w:szCs w:val="20"/>
                <w:u w:val="none"/>
                <w:lang w:val="en-GB"/>
              </w:rPr>
              <w:t>, who stressed that they lack an obligation of the group´s chair to appear before the European Parliament.</w:t>
            </w:r>
          </w:p>
          <w:p w:rsidR="001F6EB5" w:rsidRPr="001F6EB5" w:rsidRDefault="001F6EB5">
            <w:pPr>
              <w:pStyle w:val="Lijstalinea"/>
              <w:spacing w:line="276" w:lineRule="auto"/>
              <w:ind w:right="266"/>
              <w:jc w:val="both"/>
              <w:rPr>
                <w:lang w:val="en-US"/>
              </w:rPr>
            </w:pPr>
            <w:r>
              <w:rPr>
                <w:rStyle w:val="Hyperlink"/>
                <w:color w:val="000000"/>
                <w:sz w:val="20"/>
                <w:szCs w:val="20"/>
                <w:u w:val="none"/>
                <w:lang w:val="en-GB"/>
              </w:rPr>
              <w:t> </w:t>
            </w:r>
          </w:p>
          <w:p w:rsidR="001F6EB5" w:rsidRPr="001F6EB5" w:rsidRDefault="001F6EB5">
            <w:pPr>
              <w:pStyle w:val="Lijstalinea"/>
              <w:spacing w:line="276" w:lineRule="auto"/>
              <w:ind w:right="266"/>
              <w:jc w:val="both"/>
              <w:rPr>
                <w:lang w:val="en-US"/>
              </w:rPr>
            </w:pPr>
            <w:r>
              <w:rPr>
                <w:rStyle w:val="Hyperlink"/>
                <w:color w:val="000000"/>
                <w:sz w:val="20"/>
                <w:szCs w:val="20"/>
                <w:u w:val="none"/>
                <w:lang w:val="en-GB"/>
              </w:rPr>
              <w:t xml:space="preserve">The Code of Conduct Group on business taxation dealing with harmful tax competition was set up by EU ministers in 1998. It represents a forum where EU member countries exchange and discuss their tax affairs, in particular tax rulings granted to multinationals. </w:t>
            </w:r>
          </w:p>
          <w:p w:rsidR="001F6EB5" w:rsidRDefault="001F6EB5">
            <w:pPr>
              <w:shd w:val="clear" w:color="auto" w:fill="FFFFFF"/>
              <w:spacing w:before="100" w:beforeAutospacing="1" w:line="276" w:lineRule="auto"/>
              <w:ind w:left="708"/>
            </w:pPr>
            <w:r>
              <w:rPr>
                <w:lang w:val="en-GB"/>
              </w:rPr>
              <w:lastRenderedPageBreak/>
              <w:t xml:space="preserve">– </w:t>
            </w:r>
            <w:r>
              <w:rPr>
                <w:sz w:val="20"/>
                <w:szCs w:val="20"/>
                <w:lang w:val="en-GB"/>
              </w:rPr>
              <w:t xml:space="preserve">Council conclusions, 8 March 2016: </w:t>
            </w:r>
            <w:hyperlink r:id="rId9" w:history="1">
              <w:r>
                <w:rPr>
                  <w:rStyle w:val="Hyperlink"/>
                  <w:sz w:val="20"/>
                  <w:szCs w:val="20"/>
                  <w:lang w:val="en-GB"/>
                </w:rPr>
                <w:t>EN</w:t>
              </w:r>
            </w:hyperlink>
          </w:p>
          <w:p w:rsidR="001F6EB5" w:rsidRDefault="001F6EB5">
            <w:pPr>
              <w:shd w:val="clear" w:color="auto" w:fill="FEFEFE"/>
              <w:spacing w:line="276" w:lineRule="auto"/>
              <w:jc w:val="right"/>
            </w:pPr>
            <w:r>
              <w:rPr>
                <w:b/>
                <w:bCs/>
                <w:color w:val="000000"/>
                <w:lang w:val="en-GB"/>
              </w:rPr>
              <w:t> </w:t>
            </w:r>
          </w:p>
          <w:p w:rsidR="001F6EB5" w:rsidRPr="001F6EB5" w:rsidRDefault="001F6EB5" w:rsidP="001C0BB5">
            <w:pPr>
              <w:pStyle w:val="Lijstalinea"/>
              <w:numPr>
                <w:ilvl w:val="0"/>
                <w:numId w:val="2"/>
              </w:numPr>
              <w:spacing w:line="276" w:lineRule="auto"/>
              <w:jc w:val="both"/>
              <w:rPr>
                <w:lang w:val="en-US"/>
              </w:rPr>
            </w:pPr>
            <w:r>
              <w:rPr>
                <w:rStyle w:val="Hyperlink"/>
                <w:b/>
                <w:bCs/>
                <w:color w:val="auto"/>
                <w:sz w:val="20"/>
                <w:szCs w:val="20"/>
                <w:u w:val="none"/>
                <w:lang w:val="en"/>
              </w:rPr>
              <w:t xml:space="preserve">Commission expected to propose increased flexibility for national VAT rules </w:t>
            </w:r>
          </w:p>
          <w:p w:rsidR="001F6EB5" w:rsidRPr="001F6EB5" w:rsidRDefault="001F6EB5">
            <w:pPr>
              <w:pStyle w:val="Lijstalinea"/>
              <w:spacing w:line="276" w:lineRule="auto"/>
              <w:jc w:val="both"/>
              <w:rPr>
                <w:lang w:val="en-US"/>
              </w:rPr>
            </w:pPr>
            <w:r>
              <w:rPr>
                <w:rStyle w:val="Hyperlink"/>
                <w:color w:val="auto"/>
                <w:sz w:val="20"/>
                <w:szCs w:val="20"/>
                <w:u w:val="none"/>
                <w:lang w:val="en"/>
              </w:rPr>
              <w:t> </w:t>
            </w:r>
          </w:p>
          <w:p w:rsidR="001F6EB5" w:rsidRPr="001F6EB5" w:rsidRDefault="001F6EB5">
            <w:pPr>
              <w:pStyle w:val="Lijstalinea"/>
              <w:spacing w:line="276" w:lineRule="auto"/>
              <w:ind w:right="266"/>
              <w:jc w:val="both"/>
              <w:rPr>
                <w:lang w:val="en-US"/>
              </w:rPr>
            </w:pPr>
            <w:r>
              <w:rPr>
                <w:rStyle w:val="Hyperlink"/>
                <w:color w:val="auto"/>
                <w:sz w:val="20"/>
                <w:szCs w:val="20"/>
                <w:u w:val="none"/>
                <w:lang w:val="en"/>
              </w:rPr>
              <w:t>The European Commission is expected to propose an overhaul of the EU VAT regime at the next meeting of the Commissioners. The Financial Times reported about plans of the Commission calling for a reform of existing rules on the application of lower-than-normal rates of VAT in member states. So far, VAT rates of less than 15 per cent can only be applied to a list of products and services which has been little changed over the last forty years.</w:t>
            </w:r>
          </w:p>
          <w:p w:rsidR="001F6EB5" w:rsidRPr="001F6EB5" w:rsidRDefault="001F6EB5">
            <w:pPr>
              <w:pStyle w:val="Lijstalinea"/>
              <w:spacing w:line="276" w:lineRule="auto"/>
              <w:ind w:right="266"/>
              <w:jc w:val="both"/>
              <w:rPr>
                <w:lang w:val="en-US"/>
              </w:rPr>
            </w:pPr>
            <w:r>
              <w:rPr>
                <w:rStyle w:val="Hyperlink"/>
                <w:color w:val="auto"/>
                <w:sz w:val="20"/>
                <w:szCs w:val="20"/>
                <w:u w:val="none"/>
                <w:lang w:val="en"/>
              </w:rPr>
              <w:t>According to the Financial Times, the paper sets out two options: either a list of goods and services eligible for reduced rates would be retained, but expanded and kept under regular review; the second more radical option would replace the list with “rules framing the cases when reduced rates can be applied”. This approach would mean scrapping the standard 15 per cent VAT rate altogether.</w:t>
            </w:r>
          </w:p>
          <w:p w:rsidR="001F6EB5" w:rsidRPr="001F6EB5" w:rsidRDefault="001F6EB5">
            <w:pPr>
              <w:pStyle w:val="Lijstalinea"/>
              <w:spacing w:line="276" w:lineRule="auto"/>
              <w:jc w:val="both"/>
              <w:rPr>
                <w:lang w:val="en-US"/>
              </w:rPr>
            </w:pPr>
            <w:r>
              <w:rPr>
                <w:rStyle w:val="Hyperlink"/>
                <w:color w:val="auto"/>
                <w:u w:val="none"/>
                <w:lang w:val="en"/>
              </w:rPr>
              <w:t> </w:t>
            </w:r>
          </w:p>
          <w:p w:rsidR="001F6EB5" w:rsidRPr="001F6EB5" w:rsidRDefault="001F6EB5" w:rsidP="001C0BB5">
            <w:pPr>
              <w:pStyle w:val="Lijstalinea"/>
              <w:numPr>
                <w:ilvl w:val="0"/>
                <w:numId w:val="3"/>
              </w:numPr>
              <w:spacing w:line="276" w:lineRule="auto"/>
              <w:jc w:val="both"/>
              <w:rPr>
                <w:lang w:val="en-US"/>
              </w:rPr>
            </w:pPr>
            <w:r>
              <w:rPr>
                <w:sz w:val="20"/>
                <w:szCs w:val="20"/>
                <w:lang w:val="en"/>
              </w:rPr>
              <w:t xml:space="preserve">Financial Times article: </w:t>
            </w:r>
            <w:hyperlink r:id="rId10" w:anchor="axzz42n4lmSf6" w:history="1">
              <w:r>
                <w:rPr>
                  <w:rStyle w:val="Hyperlink"/>
                  <w:sz w:val="20"/>
                  <w:szCs w:val="20"/>
                  <w:lang w:val="en"/>
                </w:rPr>
                <w:t>EN</w:t>
              </w:r>
            </w:hyperlink>
            <w:r>
              <w:rPr>
                <w:sz w:val="20"/>
                <w:szCs w:val="20"/>
                <w:lang w:val="en"/>
              </w:rPr>
              <w:t xml:space="preserve"> (paying subscribers only) </w:t>
            </w:r>
          </w:p>
          <w:p w:rsidR="001F6EB5" w:rsidRPr="001F6EB5" w:rsidRDefault="001F6EB5">
            <w:pPr>
              <w:pStyle w:val="Lijstalinea"/>
              <w:spacing w:line="276" w:lineRule="auto"/>
              <w:jc w:val="both"/>
              <w:rPr>
                <w:lang w:val="en-US"/>
              </w:rPr>
            </w:pPr>
            <w:r>
              <w:rPr>
                <w:rStyle w:val="Hyperlink"/>
                <w:b/>
                <w:bCs/>
                <w:color w:val="000000"/>
                <w:sz w:val="20"/>
                <w:szCs w:val="20"/>
                <w:u w:val="none"/>
                <w:lang w:val="en"/>
              </w:rPr>
              <w:t> </w:t>
            </w:r>
          </w:p>
          <w:p w:rsidR="001F6EB5" w:rsidRPr="001F6EB5" w:rsidRDefault="001F6EB5" w:rsidP="001C0BB5">
            <w:pPr>
              <w:pStyle w:val="Lijstalinea"/>
              <w:numPr>
                <w:ilvl w:val="0"/>
                <w:numId w:val="2"/>
              </w:numPr>
              <w:spacing w:line="276" w:lineRule="auto"/>
              <w:jc w:val="both"/>
              <w:rPr>
                <w:lang w:val="en-US"/>
              </w:rPr>
            </w:pPr>
            <w:r>
              <w:rPr>
                <w:rStyle w:val="Hyperlink"/>
                <w:b/>
                <w:bCs/>
                <w:color w:val="000000"/>
                <w:sz w:val="20"/>
                <w:szCs w:val="20"/>
                <w:u w:val="none"/>
                <w:lang w:val="en"/>
              </w:rPr>
              <w:t>Commission proposes equal pay for posted workers, but tax differentials remain</w:t>
            </w:r>
          </w:p>
          <w:p w:rsidR="001F6EB5" w:rsidRPr="001F6EB5" w:rsidRDefault="001F6EB5">
            <w:pPr>
              <w:pStyle w:val="Lijstalinea"/>
              <w:spacing w:line="276" w:lineRule="auto"/>
              <w:jc w:val="both"/>
              <w:rPr>
                <w:lang w:val="en-US"/>
              </w:rPr>
            </w:pPr>
            <w:r>
              <w:rPr>
                <w:rStyle w:val="Hyperlink"/>
                <w:b/>
                <w:bCs/>
                <w:color w:val="000000"/>
                <w:sz w:val="20"/>
                <w:szCs w:val="20"/>
                <w:u w:val="none"/>
                <w:lang w:val="en"/>
              </w:rPr>
              <w:t> </w:t>
            </w:r>
          </w:p>
          <w:p w:rsidR="001F6EB5" w:rsidRPr="001F6EB5" w:rsidRDefault="001F6EB5">
            <w:pPr>
              <w:pStyle w:val="Lijstalinea"/>
              <w:spacing w:line="276" w:lineRule="auto"/>
              <w:ind w:right="266"/>
              <w:jc w:val="both"/>
              <w:rPr>
                <w:lang w:val="en-US"/>
              </w:rPr>
            </w:pPr>
            <w:r>
              <w:rPr>
                <w:rStyle w:val="Hyperlink"/>
                <w:color w:val="000000"/>
                <w:sz w:val="20"/>
                <w:szCs w:val="20"/>
                <w:u w:val="none"/>
                <w:lang w:val="en-GB"/>
              </w:rPr>
              <w:t>On 8 March 2016, the European Commission tabled its long-expected proposal for a revision of the rules on posting of workers. The initiative aims at ensuring fair wage conditions and a level playing field between posting and local companies in the host country. The targeted revision will introduce changes in three areas: remuneration of posted workers, rules on temporary work agencies, and long-term posting.</w:t>
            </w:r>
          </w:p>
          <w:p w:rsidR="001F6EB5" w:rsidRPr="001F6EB5" w:rsidRDefault="001F6EB5">
            <w:pPr>
              <w:pStyle w:val="Lijstalinea"/>
              <w:spacing w:line="276" w:lineRule="auto"/>
              <w:ind w:right="266"/>
              <w:jc w:val="both"/>
              <w:rPr>
                <w:lang w:val="en-US"/>
              </w:rPr>
            </w:pPr>
            <w:r>
              <w:rPr>
                <w:rStyle w:val="Hyperlink"/>
                <w:color w:val="000000"/>
                <w:sz w:val="20"/>
                <w:szCs w:val="20"/>
                <w:u w:val="none"/>
                <w:lang w:val="en-GB"/>
              </w:rPr>
              <w:t>The proposal foresees that posted workers are subject to equal pay and working conditions as local workers. Currently, posted workers are already subject to the same rules as host member state employees in certain fields, such as health and safety. However, the employer is not obliged to pay a posted worker more than the minimum rate of pay set by the host country.</w:t>
            </w:r>
          </w:p>
          <w:p w:rsidR="001F6EB5" w:rsidRPr="001F6EB5" w:rsidRDefault="001F6EB5">
            <w:pPr>
              <w:pStyle w:val="Lijstalinea"/>
              <w:spacing w:line="276" w:lineRule="auto"/>
              <w:ind w:right="266"/>
              <w:jc w:val="both"/>
              <w:rPr>
                <w:lang w:val="en-US"/>
              </w:rPr>
            </w:pPr>
            <w:r>
              <w:rPr>
                <w:rStyle w:val="Hyperlink"/>
                <w:color w:val="000000"/>
                <w:sz w:val="20"/>
                <w:szCs w:val="20"/>
                <w:u w:val="none"/>
                <w:lang w:val="en-GB"/>
              </w:rPr>
              <w:t>According to the Directive proposal, all the rules on remuneration that are applied generally to local workers will also have to be granted to posted workers. Remuneration will also include other elements such as bonuses or allowances where applicable. Taxes and social contributions of the posted workers will still have to be paid in their home countries, according to those countries´ laws. To that extent, there will remain some level of differences in wages costs for employers.</w:t>
            </w:r>
          </w:p>
          <w:p w:rsidR="001F6EB5" w:rsidRPr="001F6EB5" w:rsidRDefault="001F6EB5">
            <w:pPr>
              <w:pStyle w:val="Lijstalinea"/>
              <w:spacing w:line="276" w:lineRule="auto"/>
              <w:jc w:val="both"/>
              <w:rPr>
                <w:lang w:val="en-US"/>
              </w:rPr>
            </w:pPr>
            <w:r>
              <w:rPr>
                <w:rStyle w:val="Hyperlink"/>
                <w:color w:val="000000"/>
                <w:sz w:val="20"/>
                <w:szCs w:val="20"/>
                <w:u w:val="none"/>
                <w:lang w:val="en-GB"/>
              </w:rPr>
              <w:t> </w:t>
            </w:r>
          </w:p>
          <w:p w:rsidR="001F6EB5" w:rsidRPr="001F6EB5" w:rsidRDefault="001F6EB5" w:rsidP="001C0BB5">
            <w:pPr>
              <w:pStyle w:val="Lijstalinea"/>
              <w:numPr>
                <w:ilvl w:val="0"/>
                <w:numId w:val="3"/>
              </w:numPr>
              <w:spacing w:line="276" w:lineRule="auto"/>
              <w:rPr>
                <w:lang w:val="en-US"/>
              </w:rPr>
            </w:pPr>
            <w:proofErr w:type="spellStart"/>
            <w:r>
              <w:rPr>
                <w:sz w:val="20"/>
                <w:szCs w:val="20"/>
                <w:lang w:val="fr-FR"/>
              </w:rPr>
              <w:t>Press</w:t>
            </w:r>
            <w:proofErr w:type="spellEnd"/>
            <w:r>
              <w:rPr>
                <w:sz w:val="20"/>
                <w:szCs w:val="20"/>
                <w:lang w:val="fr-FR"/>
              </w:rPr>
              <w:t xml:space="preserve"> release: </w:t>
            </w:r>
            <w:hyperlink r:id="rId11" w:history="1">
              <w:r>
                <w:rPr>
                  <w:rStyle w:val="Hyperlink"/>
                  <w:sz w:val="20"/>
                  <w:szCs w:val="20"/>
                  <w:lang w:val="fr-FR"/>
                </w:rPr>
                <w:t>EN</w:t>
              </w:r>
            </w:hyperlink>
            <w:r>
              <w:rPr>
                <w:sz w:val="20"/>
                <w:szCs w:val="20"/>
                <w:lang w:val="fr-FR"/>
              </w:rPr>
              <w:t xml:space="preserve"> (DE FR </w:t>
            </w:r>
            <w:proofErr w:type="spellStart"/>
            <w:r>
              <w:rPr>
                <w:sz w:val="20"/>
                <w:szCs w:val="20"/>
                <w:lang w:val="fr-FR"/>
              </w:rPr>
              <w:t>available</w:t>
            </w:r>
            <w:proofErr w:type="spellEnd"/>
            <w:r>
              <w:rPr>
                <w:sz w:val="20"/>
                <w:szCs w:val="20"/>
                <w:lang w:val="fr-FR"/>
              </w:rPr>
              <w:t>)</w:t>
            </w:r>
          </w:p>
          <w:p w:rsidR="001F6EB5" w:rsidRPr="001F6EB5" w:rsidRDefault="001F6EB5" w:rsidP="001C0BB5">
            <w:pPr>
              <w:pStyle w:val="Lijstalinea"/>
              <w:numPr>
                <w:ilvl w:val="0"/>
                <w:numId w:val="3"/>
              </w:numPr>
              <w:spacing w:line="276" w:lineRule="auto"/>
              <w:rPr>
                <w:lang w:val="en-US"/>
              </w:rPr>
            </w:pPr>
            <w:r>
              <w:rPr>
                <w:sz w:val="20"/>
                <w:szCs w:val="20"/>
                <w:lang w:val="en"/>
              </w:rPr>
              <w:t xml:space="preserve">Directive proposal COM(2016)128: </w:t>
            </w:r>
            <w:hyperlink r:id="rId12" w:history="1">
              <w:r>
                <w:rPr>
                  <w:rStyle w:val="Hyperlink"/>
                  <w:sz w:val="20"/>
                  <w:szCs w:val="20"/>
                  <w:lang w:val="en"/>
                </w:rPr>
                <w:t>All EU languages</w:t>
              </w:r>
            </w:hyperlink>
            <w:r w:rsidRPr="001F6EB5">
              <w:rPr>
                <w:sz w:val="20"/>
                <w:szCs w:val="20"/>
                <w:lang w:val="en-US"/>
              </w:rPr>
              <w:t xml:space="preserve"> </w:t>
            </w:r>
          </w:p>
          <w:p w:rsidR="001F6EB5" w:rsidRDefault="001F6EB5" w:rsidP="001C0BB5">
            <w:pPr>
              <w:pStyle w:val="Lijstalinea"/>
              <w:numPr>
                <w:ilvl w:val="0"/>
                <w:numId w:val="3"/>
              </w:numPr>
              <w:spacing w:line="276" w:lineRule="auto"/>
            </w:pPr>
            <w:r>
              <w:rPr>
                <w:sz w:val="20"/>
                <w:szCs w:val="20"/>
              </w:rPr>
              <w:t xml:space="preserve">Impact assessment: </w:t>
            </w:r>
            <w:hyperlink r:id="rId13" w:history="1">
              <w:r>
                <w:rPr>
                  <w:rStyle w:val="Hyperlink"/>
                  <w:sz w:val="20"/>
                  <w:szCs w:val="20"/>
                </w:rPr>
                <w:t>EN</w:t>
              </w:r>
            </w:hyperlink>
            <w:r>
              <w:rPr>
                <w:sz w:val="20"/>
                <w:szCs w:val="20"/>
              </w:rPr>
              <w:t xml:space="preserve"> </w:t>
            </w:r>
          </w:p>
          <w:p w:rsidR="001F6EB5" w:rsidRDefault="001F6EB5">
            <w:pPr>
              <w:pStyle w:val="Lijstalinea"/>
              <w:spacing w:line="276" w:lineRule="auto"/>
              <w:jc w:val="both"/>
            </w:pPr>
            <w:r>
              <w:rPr>
                <w:rStyle w:val="Hyperlink"/>
                <w:color w:val="000000"/>
                <w:sz w:val="20"/>
                <w:szCs w:val="20"/>
                <w:u w:val="none"/>
                <w:lang w:val="en-GB"/>
              </w:rPr>
              <w:t> </w:t>
            </w:r>
          </w:p>
          <w:p w:rsidR="001F6EB5" w:rsidRPr="001F6EB5" w:rsidRDefault="001F6EB5" w:rsidP="001C0BB5">
            <w:pPr>
              <w:pStyle w:val="Lijstalinea"/>
              <w:numPr>
                <w:ilvl w:val="0"/>
                <w:numId w:val="2"/>
              </w:numPr>
              <w:spacing w:line="276" w:lineRule="auto"/>
              <w:jc w:val="both"/>
              <w:rPr>
                <w:lang w:val="en-US"/>
              </w:rPr>
            </w:pPr>
            <w:r>
              <w:rPr>
                <w:rStyle w:val="Hyperlink"/>
                <w:b/>
                <w:bCs/>
                <w:color w:val="000000"/>
                <w:sz w:val="20"/>
                <w:szCs w:val="20"/>
                <w:u w:val="none"/>
                <w:lang w:val="en"/>
              </w:rPr>
              <w:t>OECD:  Patent boxes provide less incentives than expected</w:t>
            </w:r>
          </w:p>
          <w:p w:rsidR="001F6EB5" w:rsidRPr="001F6EB5" w:rsidRDefault="001F6EB5">
            <w:pPr>
              <w:pStyle w:val="Lijstalinea"/>
              <w:spacing w:line="276" w:lineRule="auto"/>
              <w:jc w:val="both"/>
              <w:rPr>
                <w:lang w:val="en-US"/>
              </w:rPr>
            </w:pPr>
            <w:r>
              <w:rPr>
                <w:rStyle w:val="Hyperlink"/>
                <w:color w:val="000000"/>
                <w:sz w:val="20"/>
                <w:szCs w:val="20"/>
                <w:u w:val="none"/>
                <w:lang w:val="en-GB"/>
              </w:rPr>
              <w:t> </w:t>
            </w:r>
          </w:p>
          <w:p w:rsidR="001F6EB5" w:rsidRPr="001F6EB5" w:rsidRDefault="001F6EB5">
            <w:pPr>
              <w:pStyle w:val="Lijstalinea"/>
              <w:spacing w:line="276" w:lineRule="auto"/>
              <w:ind w:right="266"/>
              <w:jc w:val="both"/>
              <w:rPr>
                <w:lang w:val="en-US"/>
              </w:rPr>
            </w:pPr>
            <w:r>
              <w:rPr>
                <w:rStyle w:val="Hyperlink"/>
                <w:color w:val="000000"/>
                <w:sz w:val="20"/>
                <w:szCs w:val="20"/>
                <w:u w:val="none"/>
                <w:lang w:val="en-GB"/>
              </w:rPr>
              <w:t>According to the Irish Times, the head of the OECD’s centre for tax policy, Pascal Saint-</w:t>
            </w:r>
            <w:proofErr w:type="spellStart"/>
            <w:r>
              <w:rPr>
                <w:rStyle w:val="Hyperlink"/>
                <w:color w:val="000000"/>
                <w:sz w:val="20"/>
                <w:szCs w:val="20"/>
                <w:u w:val="none"/>
                <w:lang w:val="en-GB"/>
              </w:rPr>
              <w:t>Amans</w:t>
            </w:r>
            <w:proofErr w:type="spellEnd"/>
            <w:r>
              <w:rPr>
                <w:rStyle w:val="Hyperlink"/>
                <w:color w:val="000000"/>
                <w:sz w:val="20"/>
                <w:szCs w:val="20"/>
                <w:u w:val="none"/>
                <w:lang w:val="en-GB"/>
              </w:rPr>
              <w:t>, warned at a conference organised by the Irish Tax Institute in Dublin on Thursday that the introduction of tax measures such as so-called knowledge or patent boxes was not a good way to foster the creation of intellectual property (IP).</w:t>
            </w:r>
          </w:p>
          <w:p w:rsidR="001F6EB5" w:rsidRPr="001F6EB5" w:rsidRDefault="001F6EB5">
            <w:pPr>
              <w:pStyle w:val="Lijstalinea"/>
              <w:spacing w:line="276" w:lineRule="auto"/>
              <w:ind w:right="266"/>
              <w:jc w:val="both"/>
              <w:rPr>
                <w:lang w:val="en-US"/>
              </w:rPr>
            </w:pPr>
            <w:r>
              <w:rPr>
                <w:rStyle w:val="Hyperlink"/>
                <w:color w:val="000000"/>
                <w:sz w:val="20"/>
                <w:szCs w:val="20"/>
                <w:u w:val="none"/>
                <w:lang w:val="en-GB"/>
              </w:rPr>
              <w:t xml:space="preserve">Ireland introduced an OECD-compliant Knowledge Development Box in its Finance Bill, which results in a reduced corporation tax rate of 6.25 per cent for eligible technology and software firms, as part of the new </w:t>
            </w:r>
            <w:r>
              <w:rPr>
                <w:rStyle w:val="Hyperlink"/>
                <w:color w:val="000000"/>
                <w:sz w:val="20"/>
                <w:szCs w:val="20"/>
                <w:u w:val="none"/>
                <w:lang w:val="en-GB"/>
              </w:rPr>
              <w:lastRenderedPageBreak/>
              <w:t>corporate tax scheme. the outcome of the OECD’s Base Erosion and Profit Shifting (BEPS) project also includes recommendations on patent or knowledge boxes (as part of Action 5).</w:t>
            </w:r>
          </w:p>
          <w:p w:rsidR="001F6EB5" w:rsidRPr="001F6EB5" w:rsidRDefault="001F6EB5">
            <w:pPr>
              <w:pStyle w:val="Lijstalinea"/>
              <w:spacing w:line="276" w:lineRule="auto"/>
              <w:jc w:val="both"/>
              <w:rPr>
                <w:lang w:val="en-US"/>
              </w:rPr>
            </w:pPr>
            <w:r>
              <w:rPr>
                <w:rStyle w:val="Hyperlink"/>
                <w:color w:val="000000"/>
                <w:u w:val="none"/>
                <w:lang w:val="en-GB"/>
              </w:rPr>
              <w:t> </w:t>
            </w:r>
          </w:p>
          <w:p w:rsidR="001F6EB5" w:rsidRDefault="001F6EB5" w:rsidP="001C0BB5">
            <w:pPr>
              <w:pStyle w:val="Lijstalinea"/>
              <w:numPr>
                <w:ilvl w:val="0"/>
                <w:numId w:val="3"/>
              </w:numPr>
              <w:spacing w:line="276" w:lineRule="auto"/>
              <w:jc w:val="both"/>
            </w:pPr>
            <w:r>
              <w:rPr>
                <w:sz w:val="20"/>
                <w:szCs w:val="20"/>
              </w:rPr>
              <w:t xml:space="preserve">The Irish Times </w:t>
            </w:r>
            <w:proofErr w:type="spellStart"/>
            <w:r>
              <w:rPr>
                <w:sz w:val="20"/>
                <w:szCs w:val="20"/>
              </w:rPr>
              <w:t>article</w:t>
            </w:r>
            <w:proofErr w:type="spellEnd"/>
            <w:r>
              <w:rPr>
                <w:sz w:val="20"/>
                <w:szCs w:val="20"/>
              </w:rPr>
              <w:t xml:space="preserve">: </w:t>
            </w:r>
            <w:hyperlink r:id="rId14" w:history="1">
              <w:r>
                <w:rPr>
                  <w:rStyle w:val="Hyperlink"/>
                  <w:sz w:val="20"/>
                  <w:szCs w:val="20"/>
                </w:rPr>
                <w:t>EN</w:t>
              </w:r>
            </w:hyperlink>
          </w:p>
          <w:p w:rsidR="001F6EB5" w:rsidRDefault="001F6EB5">
            <w:pPr>
              <w:spacing w:line="276" w:lineRule="auto"/>
            </w:pPr>
            <w:r>
              <w:rPr>
                <w:sz w:val="20"/>
                <w:szCs w:val="20"/>
                <w:lang w:val="en-GB"/>
              </w:rPr>
              <w:t> </w:t>
            </w:r>
          </w:p>
          <w:p w:rsidR="001F6EB5" w:rsidRDefault="001F6EB5">
            <w:pPr>
              <w:spacing w:line="276" w:lineRule="auto"/>
              <w:jc w:val="center"/>
            </w:pPr>
            <w:r>
              <w:rPr>
                <w:sz w:val="20"/>
                <w:szCs w:val="20"/>
                <w:lang w:val="en"/>
              </w:rPr>
              <w:t> </w:t>
            </w:r>
          </w:p>
          <w:p w:rsidR="001F6EB5" w:rsidRDefault="001F6EB5">
            <w:pPr>
              <w:spacing w:line="276" w:lineRule="auto"/>
              <w:jc w:val="center"/>
            </w:pPr>
            <w:r>
              <w:rPr>
                <w:sz w:val="20"/>
                <w:szCs w:val="20"/>
              </w:rPr>
              <w:t>*****</w:t>
            </w:r>
          </w:p>
          <w:p w:rsidR="001F6EB5" w:rsidRDefault="001F6EB5">
            <w:pPr>
              <w:spacing w:line="276" w:lineRule="auto"/>
              <w:jc w:val="both"/>
            </w:pPr>
            <w:r>
              <w:rPr>
                <w:sz w:val="20"/>
                <w:szCs w:val="20"/>
              </w:rPr>
              <w:t> </w:t>
            </w:r>
          </w:p>
          <w:p w:rsidR="001F6EB5" w:rsidRPr="001F6EB5" w:rsidRDefault="001F6EB5">
            <w:pPr>
              <w:spacing w:line="276" w:lineRule="auto"/>
              <w:ind w:left="126" w:right="266"/>
              <w:jc w:val="both"/>
              <w:rPr>
                <w:lang w:val="en-US"/>
              </w:rPr>
            </w:pPr>
            <w:r>
              <w:rPr>
                <w:i/>
                <w:iCs/>
                <w:sz w:val="20"/>
                <w:szCs w:val="20"/>
                <w:lang w:val="en-GB"/>
              </w:rPr>
              <w:t xml:space="preserve">The selection of the remitted material has been prepared by </w:t>
            </w:r>
            <w:proofErr w:type="spellStart"/>
            <w:r>
              <w:rPr>
                <w:i/>
                <w:iCs/>
                <w:sz w:val="20"/>
                <w:szCs w:val="20"/>
                <w:lang w:val="en-GB"/>
              </w:rPr>
              <w:t>Piergiorgio</w:t>
            </w:r>
            <w:proofErr w:type="spellEnd"/>
            <w:r>
              <w:rPr>
                <w:i/>
                <w:iCs/>
                <w:sz w:val="20"/>
                <w:szCs w:val="20"/>
                <w:lang w:val="en-GB"/>
              </w:rPr>
              <w:t xml:space="preserve"> Valente / </w:t>
            </w:r>
            <w:proofErr w:type="spellStart"/>
            <w:r>
              <w:rPr>
                <w:i/>
                <w:iCs/>
                <w:sz w:val="20"/>
                <w:szCs w:val="20"/>
                <w:lang w:val="en-GB"/>
              </w:rPr>
              <w:t>Filipa</w:t>
            </w:r>
            <w:proofErr w:type="spellEnd"/>
            <w:r>
              <w:rPr>
                <w:i/>
                <w:iCs/>
                <w:sz w:val="20"/>
                <w:szCs w:val="20"/>
                <w:lang w:val="en-GB"/>
              </w:rPr>
              <w:t xml:space="preserve"> </w:t>
            </w:r>
            <w:proofErr w:type="spellStart"/>
            <w:r>
              <w:rPr>
                <w:i/>
                <w:iCs/>
                <w:sz w:val="20"/>
                <w:szCs w:val="20"/>
                <w:lang w:val="en-GB"/>
              </w:rPr>
              <w:t>Correia</w:t>
            </w:r>
            <w:proofErr w:type="spellEnd"/>
            <w:r>
              <w:rPr>
                <w:i/>
                <w:iCs/>
                <w:sz w:val="20"/>
                <w:szCs w:val="20"/>
                <w:lang w:val="en-GB"/>
              </w:rPr>
              <w:t xml:space="preserve"> / Rudolf </w:t>
            </w:r>
            <w:proofErr w:type="spellStart"/>
            <w:r>
              <w:rPr>
                <w:i/>
                <w:iCs/>
                <w:sz w:val="20"/>
                <w:szCs w:val="20"/>
                <w:lang w:val="en-GB"/>
              </w:rPr>
              <w:t>Reibel</w:t>
            </w:r>
            <w:proofErr w:type="spellEnd"/>
            <w:r>
              <w:rPr>
                <w:i/>
                <w:iCs/>
                <w:sz w:val="20"/>
                <w:szCs w:val="20"/>
                <w:lang w:val="en-GB"/>
              </w:rPr>
              <w:t xml:space="preserve"> / Andrea Morass</w:t>
            </w:r>
          </w:p>
          <w:p w:rsidR="001F6EB5" w:rsidRPr="001F6EB5" w:rsidRDefault="001F6EB5">
            <w:pPr>
              <w:spacing w:line="276" w:lineRule="auto"/>
              <w:ind w:left="126"/>
              <w:jc w:val="center"/>
              <w:rPr>
                <w:lang w:val="en-US"/>
              </w:rPr>
            </w:pPr>
            <w:r>
              <w:rPr>
                <w:i/>
                <w:iCs/>
                <w:sz w:val="20"/>
                <w:szCs w:val="20"/>
                <w:lang w:val="en-GB"/>
              </w:rPr>
              <w:t>Follow us on</w:t>
            </w:r>
            <w:r>
              <w:rPr>
                <w:i/>
                <w:iCs/>
                <w:color w:val="FF0000"/>
                <w:sz w:val="20"/>
                <w:szCs w:val="20"/>
                <w:lang w:val="en-GB"/>
              </w:rPr>
              <w:t xml:space="preserve"> </w:t>
            </w:r>
            <w:hyperlink r:id="rId15" w:history="1">
              <w:r>
                <w:rPr>
                  <w:rStyle w:val="Hyperlink"/>
                  <w:sz w:val="20"/>
                  <w:szCs w:val="20"/>
                  <w:lang w:val="en-GB"/>
                </w:rPr>
                <w:t>Linked in</w:t>
              </w:r>
            </w:hyperlink>
            <w:r w:rsidRPr="001F6EB5">
              <w:rPr>
                <w:sz w:val="20"/>
                <w:szCs w:val="20"/>
                <w:lang w:val="en-US"/>
              </w:rPr>
              <w:t xml:space="preserve"> </w:t>
            </w:r>
            <w:r>
              <w:rPr>
                <w:noProof/>
                <w:sz w:val="20"/>
                <w:szCs w:val="20"/>
                <w:lang w:eastAsia="nl-NL"/>
              </w:rPr>
              <mc:AlternateContent>
                <mc:Choice Requires="wps">
                  <w:drawing>
                    <wp:inline distT="0" distB="0" distL="0" distR="0">
                      <wp:extent cx="200025" cy="190500"/>
                      <wp:effectExtent l="0" t="0" r="0" b="0"/>
                      <wp:docPr id="1" name="Rechthoek 1" descr="cid:image002.png@01D17E02.1C300B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FF9693" id="Rechthoek 1" o:spid="_x0000_s1026" alt="cid:image002.png@01D17E02.1C300B00" style="width:15.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SH0gIAAOIFAAAOAAAAZHJzL2Uyb0RvYy54bWysVNtunDAQfa/Uf7D8zmIIewGFTZNlt6qU&#10;tlHTfoAXDFgBm9reZdOq/96x2WvyUrXlwfJ4zMw5M8dzfbNrG7RlSnMpUhyMCEZM5LLgokrxt68r&#10;b4aRNlQUtJGCpfiZaXwzf/vmuu8SFspaNgVTCIIInfRdimtjusT3dV6zluqR7JgAZylVSw2YqvIL&#10;RXuI3jZ+SMjE76UqOiVzpjWcZoMTz138smS5+VyWmhnUpBiwGbcqt67t6s+vaVIp2tU838Ogf4Gi&#10;pVxA0mOojBqKNoq/CtXyXEktSzPKZevLsuQ5cxyATUBesHmsacccFyiO7o5l0v8vbP5p+6AQL6B3&#10;GAnaQou+sLw2tWRPCI4KpnMoV86LhLe0YoSEo05U70iQBdMlGMHiipA74irZdzqBgI/dg7K10N29&#10;zJ80EnJRU1GxW91BP4ZMhyOlZF8zWgClwDbDv4hhDQ3R0Lr/KAvARjdGujrvStXaHFBBtHPtfD62&#10;k+0MyuEQ9EHCMUY5uIKYjAeQPk0OP3dKm/dMtshuUqwAnQtOt/faWDA0OVyxuYRc8aZximnExQFc&#10;HE4gNfxqfRaEE8DPmMTL2XIWeVE4WXoRyTLvdrWIvMkqmI6zq2yxyIJfNm8QJTUvCiZsmoMYg+jP&#10;mr1/FoOMjnLUsuGFDWchaVWtF41CWwqPYeU+V3LwnK75lzBcEYDLC0pBGJG7MPZWk9nUi1bR2Iun&#10;ZOaRIL6LJySKo2x1SemeC/bvlFCf4ngMPXV0TqBfcIO+w/eaG01abmDcNLxN8ex4iSZWgUtRuNYa&#10;ypthf1YKC/9UCmj3odFOr1aiduLoZC2LZ5CrkiAnGDcwGGFTS/UDox6GTIr19w1VDKPmgwDJx0EU&#10;2ankjGg8DcFQ5571uYeKHEKl2GA0bBdmmGSbTvGqhkyBK4yQt/BMSu4kfEK1f1wwSByT/dCzk+rc&#10;drdOo3n+GwAA//8DAFBLAwQUAAYACAAAACEA6pxkKdsAAAADAQAADwAAAGRycy9kb3ducmV2Lnht&#10;bEyPQUvDQBCF70L/wzKFXsTuVlEkzaZIQSxFKKa25212TILZ2TS7TeK/d/Sil3kMb3jvm3Q1ukb0&#10;2IXak4bFXIFAKrytqdTwvn++eQQRoiFrGk+o4QsDrLLJVWoS6wd6wz6PpeAQConRUMXYJlKGokJn&#10;wty3SOx9+M6ZyGtXStuZgcNdI2+VepDO1MQNlWlxXWHxmV+chqHY9cf964vcXR83ns6b8zo/bLWe&#10;TcenJYiIY/w7hh98RoeMmU7+QjaIRgM/En8ne3eLexAnVqVAZqn8z559AwAA//8DAFBLAQItABQA&#10;BgAIAAAAIQC2gziS/gAAAOEBAAATAAAAAAAAAAAAAAAAAAAAAABbQ29udGVudF9UeXBlc10ueG1s&#10;UEsBAi0AFAAGAAgAAAAhADj9If/WAAAAlAEAAAsAAAAAAAAAAAAAAAAALwEAAF9yZWxzLy5yZWxz&#10;UEsBAi0AFAAGAAgAAAAhAMsB9IfSAgAA4gUAAA4AAAAAAAAAAAAAAAAALgIAAGRycy9lMm9Eb2Mu&#10;eG1sUEsBAi0AFAAGAAgAAAAhAOqcZCnbAAAAAwEAAA8AAAAAAAAAAAAAAAAALAUAAGRycy9kb3du&#10;cmV2LnhtbFBLBQYAAAAABAAEAPMAAAA0BgAAAAA=&#10;" filled="f" stroked="f">
                      <o:lock v:ext="edit" aspectratio="t"/>
                      <w10:anchorlock/>
                    </v:rect>
                  </w:pict>
                </mc:Fallback>
              </mc:AlternateContent>
            </w:r>
            <w:r>
              <w:rPr>
                <w:i/>
                <w:iCs/>
                <w:sz w:val="20"/>
                <w:szCs w:val="20"/>
                <w:lang w:val="en-GB"/>
              </w:rPr>
              <w:t> </w:t>
            </w:r>
          </w:p>
        </w:tc>
      </w:tr>
      <w:tr w:rsidR="001F6EB5" w:rsidRPr="001F6EB5" w:rsidTr="001F6EB5">
        <w:trPr>
          <w:trHeight w:val="25"/>
          <w:tblCellSpacing w:w="0" w:type="dxa"/>
        </w:trPr>
        <w:tc>
          <w:tcPr>
            <w:tcW w:w="9781" w:type="dxa"/>
            <w:tcBorders>
              <w:top w:val="nil"/>
              <w:left w:val="nil"/>
              <w:bottom w:val="nil"/>
              <w:right w:val="nil"/>
            </w:tcBorders>
            <w:tcMar>
              <w:top w:w="375" w:type="dxa"/>
              <w:left w:w="300" w:type="dxa"/>
              <w:bottom w:w="300" w:type="dxa"/>
              <w:right w:w="300" w:type="dxa"/>
            </w:tcMar>
            <w:vAlign w:val="center"/>
            <w:hideMark/>
          </w:tcPr>
          <w:p w:rsidR="001F6EB5" w:rsidRPr="001F6EB5" w:rsidRDefault="001F6EB5">
            <w:pPr>
              <w:spacing w:line="276" w:lineRule="auto"/>
              <w:jc w:val="both"/>
              <w:rPr>
                <w:lang w:val="en-US"/>
              </w:rPr>
            </w:pPr>
            <w:r>
              <w:rPr>
                <w:sz w:val="20"/>
                <w:szCs w:val="20"/>
                <w:lang w:val="en-GB"/>
              </w:rPr>
              <w:lastRenderedPageBreak/>
              <w:t> </w:t>
            </w:r>
          </w:p>
        </w:tc>
      </w:tr>
    </w:tbl>
    <w:p w:rsidR="00964095" w:rsidRPr="001F6EB5" w:rsidRDefault="00964095" w:rsidP="001F6EB5">
      <w:pPr>
        <w:ind w:left="-142"/>
        <w:rPr>
          <w:lang w:val="en-US"/>
        </w:rPr>
      </w:pPr>
    </w:p>
    <w:sectPr w:rsidR="00964095" w:rsidRPr="001F6EB5" w:rsidSect="001F6EB5">
      <w:pgSz w:w="11906" w:h="16838"/>
      <w:pgMar w:top="144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2E00"/>
    <w:multiLevelType w:val="hybridMultilevel"/>
    <w:tmpl w:val="E99A403C"/>
    <w:lvl w:ilvl="0" w:tplc="E87A3BA0">
      <w:start w:val="3"/>
      <w:numFmt w:val="bullet"/>
      <w:lvlText w:val="-"/>
      <w:lvlJc w:val="left"/>
      <w:pPr>
        <w:ind w:left="1080" w:hanging="360"/>
      </w:pPr>
      <w:rPr>
        <w:rFonts w:ascii="Calibri" w:eastAsia="Calibri" w:hAnsi="Calibri" w:cs="Calibri" w:hint="default"/>
        <w:strike w:val="0"/>
        <w:dstrike w:val="0"/>
        <w:color w:val="auto"/>
        <w:u w:val="none"/>
        <w:effect w:val="none"/>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 w15:restartNumberingAfterBreak="0">
    <w:nsid w:val="17D927D6"/>
    <w:multiLevelType w:val="hybridMultilevel"/>
    <w:tmpl w:val="C42C783C"/>
    <w:lvl w:ilvl="0" w:tplc="16C2693A">
      <w:start w:val="1"/>
      <w:numFmt w:val="decimal"/>
      <w:lvlText w:val="%1."/>
      <w:lvlJc w:val="left"/>
      <w:pPr>
        <w:ind w:left="720" w:hanging="360"/>
      </w:pPr>
      <w:rPr>
        <w:b/>
        <w:sz w:val="20"/>
        <w:szCs w:val="20"/>
        <w:lang w:val="en-G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15:restartNumberingAfterBreak="0">
    <w:nsid w:val="36B74FA2"/>
    <w:multiLevelType w:val="hybridMultilevel"/>
    <w:tmpl w:val="8BB2AF5E"/>
    <w:lvl w:ilvl="0" w:tplc="2BA23582">
      <w:numFmt w:val="decimal"/>
      <w:lvlText w:val="%1."/>
      <w:lvlJc w:val="left"/>
      <w:pPr>
        <w:ind w:left="720" w:hanging="360"/>
      </w:pPr>
      <w:rPr>
        <w:b/>
        <w:sz w:val="20"/>
        <w:szCs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B5"/>
    <w:rsid w:val="001F6EB5"/>
    <w:rsid w:val="009640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3048D-B806-4BBB-A900-7B3FEED3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6EB5"/>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F6EB5"/>
    <w:rPr>
      <w:color w:val="0563C1"/>
      <w:u w:val="single"/>
    </w:rPr>
  </w:style>
  <w:style w:type="paragraph" w:styleId="Tekstzonderopmaak">
    <w:name w:val="Plain Text"/>
    <w:basedOn w:val="Standaard"/>
    <w:link w:val="TekstzonderopmaakChar"/>
    <w:uiPriority w:val="99"/>
    <w:semiHidden/>
    <w:unhideWhenUsed/>
    <w:rsid w:val="001F6EB5"/>
  </w:style>
  <w:style w:type="character" w:customStyle="1" w:styleId="TekstzonderopmaakChar">
    <w:name w:val="Tekst zonder opmaak Char"/>
    <w:basedOn w:val="Standaardalinea-lettertype"/>
    <w:link w:val="Tekstzonderopmaak"/>
    <w:uiPriority w:val="99"/>
    <w:semiHidden/>
    <w:rsid w:val="001F6EB5"/>
    <w:rPr>
      <w:rFonts w:ascii="Calibri" w:hAnsi="Calibri" w:cs="Times New Roman"/>
    </w:rPr>
  </w:style>
  <w:style w:type="paragraph" w:styleId="Lijstalinea">
    <w:name w:val="List Paragraph"/>
    <w:basedOn w:val="Standaard"/>
    <w:uiPriority w:val="34"/>
    <w:qFormat/>
    <w:rsid w:val="001F6EB5"/>
    <w:pPr>
      <w:ind w:left="720"/>
    </w:pPr>
    <w:rPr>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9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rapid/press-release_IP-16-663_en.htm" TargetMode="External"/><Relationship Id="rId13" Type="http://schemas.openxmlformats.org/officeDocument/2006/relationships/hyperlink" Target="file:///\\fs01\folderredirect_cfe$\cfe-eutaxrreibel\Downloads\SWD_2016_52_F1_IMPACT_ASSESMENT_EN_V7_P1_842425.pdf" TargetMode="External"/><Relationship Id="rId3" Type="http://schemas.openxmlformats.org/officeDocument/2006/relationships/settings" Target="settings.xml"/><Relationship Id="rId7" Type="http://schemas.openxmlformats.org/officeDocument/2006/relationships/hyperlink" Target="http://europa.eu/rapid/press-release_IP-16-663_en.htm" TargetMode="External"/><Relationship Id="rId12" Type="http://schemas.openxmlformats.org/officeDocument/2006/relationships/hyperlink" Target="http://eur-lex.europa.eu/legal-content/EN/TXT/?qid=1457956679332&amp;uri=COM:2016:128:F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fe-eutax.org/node/5133" TargetMode="External"/><Relationship Id="rId11" Type="http://schemas.openxmlformats.org/officeDocument/2006/relationships/hyperlink" Target="http://ec.europa.eu/social/main.jsp?langId=en&amp;catId=89&amp;newsId=2488&amp;furtherNews=yes" TargetMode="External"/><Relationship Id="rId5" Type="http://schemas.openxmlformats.org/officeDocument/2006/relationships/image" Target="media/image1.jpeg"/><Relationship Id="rId15" Type="http://schemas.openxmlformats.org/officeDocument/2006/relationships/hyperlink" Target="http://www.linkedin.com/company/confederation-fiscal-europeene?trk=company_name" TargetMode="External"/><Relationship Id="rId10" Type="http://schemas.openxmlformats.org/officeDocument/2006/relationships/hyperlink" Target="http://www.ft.com/intl/cms/s/0/0cd34d48-e79d-11e5-a09b-1f8b0d268c39.html" TargetMode="External"/><Relationship Id="rId4" Type="http://schemas.openxmlformats.org/officeDocument/2006/relationships/webSettings" Target="webSettings.xml"/><Relationship Id="rId9" Type="http://schemas.openxmlformats.org/officeDocument/2006/relationships/hyperlink" Target="http://data.consilium.europa.eu/doc/document/ST-6674-2016-INIT/en/pdf" TargetMode="External"/><Relationship Id="rId14" Type="http://schemas.openxmlformats.org/officeDocument/2006/relationships/hyperlink" Target="http://www.irishtimes.com/business/economy/oecd-tax-director-cautions-against-patent-box-tax-incentives-1.256750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ED3B0ADA</Template>
  <TotalTime>59</TotalTime>
  <Pages>3</Pages>
  <Words>1137</Words>
  <Characters>6255</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Cardy Kuiper</dc:creator>
  <cp:keywords/>
  <dc:description/>
  <cp:lastModifiedBy>Cardy Kuiper</cp:lastModifiedBy>
  <cp:revision>1</cp:revision>
  <dcterms:created xsi:type="dcterms:W3CDTF">2016-03-14T14:12:00Z</dcterms:created>
  <dcterms:modified xsi:type="dcterms:W3CDTF">2016-03-14T15:11:00Z</dcterms:modified>
</cp:coreProperties>
</file>