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C5" w:rsidRDefault="002A3AC5" w:rsidP="002A3AC5">
      <w:pPr>
        <w:rPr>
          <w:color w:val="1F497D"/>
          <w:lang w:val="en-US"/>
        </w:rPr>
      </w:pPr>
    </w:p>
    <w:tbl>
      <w:tblPr>
        <w:tblW w:w="9702"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10172"/>
      </w:tblGrid>
      <w:tr w:rsidR="002A3AC5" w:rsidTr="002A3AC5">
        <w:trPr>
          <w:trHeight w:val="1924"/>
          <w:tblCellSpacing w:w="0" w:type="dxa"/>
        </w:trPr>
        <w:tc>
          <w:tcPr>
            <w:tcW w:w="9702" w:type="dxa"/>
            <w:tcBorders>
              <w:top w:val="nil"/>
              <w:left w:val="nil"/>
              <w:bottom w:val="nil"/>
              <w:right w:val="nil"/>
            </w:tcBorders>
            <w:tcMar>
              <w:top w:w="375" w:type="dxa"/>
              <w:left w:w="300" w:type="dxa"/>
              <w:bottom w:w="300" w:type="dxa"/>
              <w:right w:w="300" w:type="dxa"/>
            </w:tcMar>
            <w:vAlign w:val="center"/>
          </w:tcPr>
          <w:tbl>
            <w:tblPr>
              <w:tblW w:w="9100" w:type="dxa"/>
              <w:tblCellSpacing w:w="0" w:type="dxa"/>
              <w:tblCellMar>
                <w:left w:w="0" w:type="dxa"/>
                <w:right w:w="0" w:type="dxa"/>
              </w:tblCellMar>
              <w:tblLook w:val="04A0" w:firstRow="1" w:lastRow="0" w:firstColumn="1" w:lastColumn="0" w:noHBand="0" w:noVBand="1"/>
            </w:tblPr>
            <w:tblGrid>
              <w:gridCol w:w="9094"/>
              <w:gridCol w:w="6"/>
            </w:tblGrid>
            <w:tr w:rsidR="002A3AC5">
              <w:trPr>
                <w:trHeight w:val="76"/>
                <w:tblCellSpacing w:w="0" w:type="dxa"/>
              </w:trPr>
              <w:tc>
                <w:tcPr>
                  <w:tcW w:w="9094" w:type="dxa"/>
                  <w:vAlign w:val="center"/>
                  <w:hideMark/>
                </w:tcPr>
                <w:p w:rsidR="002A3AC5" w:rsidRDefault="002A3AC5">
                  <w:pPr>
                    <w:spacing w:line="76" w:lineRule="atLeast"/>
                    <w:jc w:val="both"/>
                    <w:rPr>
                      <w:sz w:val="20"/>
                      <w:szCs w:val="20"/>
                    </w:rPr>
                  </w:pPr>
                  <w:r>
                    <w:rPr>
                      <w:noProof/>
                      <w:sz w:val="20"/>
                      <w:szCs w:val="20"/>
                      <w:lang w:eastAsia="nl-NL"/>
                    </w:rPr>
                    <w:drawing>
                      <wp:inline distT="0" distB="0" distL="0" distR="0">
                        <wp:extent cx="5762625" cy="666750"/>
                        <wp:effectExtent l="0" t="0" r="9525" b="0"/>
                        <wp:docPr id="2" name="Afbeelding 2" descr="cid:image001.jpg@01D0C4A6.06868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0C4A6.068689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2A3AC5" w:rsidRDefault="002A3AC5">
                  <w:pPr>
                    <w:spacing w:line="276" w:lineRule="auto"/>
                    <w:jc w:val="both"/>
                    <w:rPr>
                      <w:color w:val="ACABAB"/>
                      <w:sz w:val="20"/>
                      <w:szCs w:val="20"/>
                    </w:rPr>
                  </w:pPr>
                </w:p>
                <w:p w:rsidR="002A3AC5" w:rsidRDefault="002A3AC5">
                  <w:pPr>
                    <w:spacing w:line="76" w:lineRule="atLeast"/>
                    <w:jc w:val="both"/>
                    <w:rPr>
                      <w:color w:val="ACABAB"/>
                      <w:sz w:val="20"/>
                      <w:szCs w:val="20"/>
                    </w:rPr>
                  </w:pPr>
                </w:p>
              </w:tc>
            </w:tr>
          </w:tbl>
          <w:p w:rsidR="002A3AC5" w:rsidRDefault="002A3AC5">
            <w:pPr>
              <w:shd w:val="clear" w:color="auto" w:fill="FEFEFE"/>
              <w:spacing w:line="276" w:lineRule="auto"/>
              <w:ind w:right="2925"/>
              <w:jc w:val="both"/>
              <w:rPr>
                <w:b/>
                <w:bCs/>
                <w:color w:val="000000"/>
                <w:sz w:val="20"/>
                <w:szCs w:val="20"/>
                <w:lang w:val="en" w:eastAsia="fr-BE"/>
              </w:rPr>
            </w:pPr>
            <w:r>
              <w:rPr>
                <w:b/>
                <w:bCs/>
                <w:color w:val="000000"/>
                <w:sz w:val="20"/>
                <w:szCs w:val="20"/>
                <w:lang w:val="en"/>
              </w:rPr>
              <w:t xml:space="preserve">                                                                                                                                                    </w:t>
            </w:r>
          </w:p>
          <w:p w:rsidR="002A3AC5" w:rsidRDefault="002A3AC5">
            <w:pPr>
              <w:shd w:val="clear" w:color="auto" w:fill="FEFEFE"/>
              <w:spacing w:line="276" w:lineRule="auto"/>
              <w:ind w:left="7371"/>
              <w:jc w:val="both"/>
              <w:rPr>
                <w:b/>
                <w:bCs/>
                <w:color w:val="000000"/>
                <w:sz w:val="20"/>
                <w:szCs w:val="20"/>
                <w:lang w:val="en"/>
              </w:rPr>
            </w:pPr>
            <w:r>
              <w:rPr>
                <w:b/>
                <w:bCs/>
                <w:color w:val="000000"/>
                <w:sz w:val="20"/>
                <w:szCs w:val="20"/>
                <w:lang w:val="en"/>
              </w:rPr>
              <w:t>22 July 2015</w:t>
            </w:r>
          </w:p>
          <w:p w:rsidR="002A3AC5" w:rsidRDefault="002A3AC5">
            <w:pPr>
              <w:pStyle w:val="Lijstalinea"/>
              <w:spacing w:line="276" w:lineRule="auto"/>
              <w:ind w:left="426"/>
              <w:rPr>
                <w:b/>
                <w:bCs/>
                <w:sz w:val="20"/>
                <w:szCs w:val="20"/>
              </w:rPr>
            </w:pPr>
          </w:p>
          <w:p w:rsidR="002A3AC5" w:rsidRDefault="002A3AC5">
            <w:pPr>
              <w:pStyle w:val="Lijstalinea"/>
              <w:spacing w:line="276" w:lineRule="auto"/>
              <w:ind w:left="426"/>
              <w:rPr>
                <w:b/>
                <w:bCs/>
                <w:sz w:val="20"/>
                <w:szCs w:val="20"/>
              </w:rPr>
            </w:pPr>
          </w:p>
          <w:p w:rsidR="002A3AC5" w:rsidRDefault="002A3AC5">
            <w:pPr>
              <w:pStyle w:val="Lijstalinea"/>
              <w:spacing w:line="276" w:lineRule="auto"/>
              <w:ind w:hanging="436"/>
              <w:rPr>
                <w:b/>
                <w:bCs/>
                <w:sz w:val="20"/>
                <w:szCs w:val="20"/>
              </w:rPr>
            </w:pPr>
            <w:r>
              <w:rPr>
                <w:b/>
                <w:bCs/>
                <w:sz w:val="20"/>
                <w:szCs w:val="20"/>
              </w:rPr>
              <w:t>1.</w:t>
            </w:r>
            <w:r>
              <w:rPr>
                <w:rFonts w:ascii="Times New Roman" w:hAnsi="Times New Roman"/>
                <w:b/>
                <w:bCs/>
                <w:sz w:val="14"/>
                <w:szCs w:val="14"/>
              </w:rPr>
              <w:t xml:space="preserve">         </w:t>
            </w:r>
            <w:r>
              <w:rPr>
                <w:b/>
                <w:bCs/>
                <w:sz w:val="20"/>
                <w:szCs w:val="20"/>
              </w:rPr>
              <w:t xml:space="preserve">CFE </w:t>
            </w:r>
            <w:proofErr w:type="spellStart"/>
            <w:r>
              <w:rPr>
                <w:b/>
                <w:bCs/>
                <w:sz w:val="20"/>
                <w:szCs w:val="20"/>
              </w:rPr>
              <w:t>confirmed</w:t>
            </w:r>
            <w:proofErr w:type="spellEnd"/>
            <w:r>
              <w:rPr>
                <w:b/>
                <w:bCs/>
                <w:sz w:val="20"/>
                <w:szCs w:val="20"/>
              </w:rPr>
              <w:t xml:space="preserve"> as EU VAT Forum member </w:t>
            </w:r>
            <w:proofErr w:type="spellStart"/>
            <w:r>
              <w:rPr>
                <w:b/>
                <w:bCs/>
                <w:sz w:val="20"/>
                <w:szCs w:val="20"/>
              </w:rPr>
              <w:t>until</w:t>
            </w:r>
            <w:proofErr w:type="spellEnd"/>
            <w:r>
              <w:rPr>
                <w:b/>
                <w:bCs/>
                <w:sz w:val="20"/>
                <w:szCs w:val="20"/>
              </w:rPr>
              <w:t xml:space="preserve"> September 2018</w:t>
            </w:r>
          </w:p>
          <w:p w:rsidR="002A3AC5" w:rsidRDefault="002A3AC5">
            <w:pPr>
              <w:spacing w:line="276" w:lineRule="auto"/>
              <w:ind w:left="708" w:right="171"/>
              <w:rPr>
                <w:sz w:val="20"/>
                <w:szCs w:val="20"/>
                <w:lang w:val="en"/>
              </w:rPr>
            </w:pPr>
            <w:r>
              <w:rPr>
                <w:sz w:val="20"/>
                <w:szCs w:val="20"/>
                <w:lang w:val="en"/>
              </w:rPr>
              <w:br/>
              <w:t xml:space="preserve">The European Commission has accepted the CFE as a member of the EU VAT Forum for the Forum´s second three-year term starting on 1 October 2015. The EU VAT Forum is a group of 15 </w:t>
            </w:r>
            <w:proofErr w:type="spellStart"/>
            <w:r>
              <w:rPr>
                <w:sz w:val="20"/>
                <w:szCs w:val="20"/>
                <w:lang w:val="en"/>
              </w:rPr>
              <w:t>organisations</w:t>
            </w:r>
            <w:proofErr w:type="spellEnd"/>
            <w:r>
              <w:rPr>
                <w:sz w:val="20"/>
                <w:szCs w:val="20"/>
                <w:lang w:val="en"/>
              </w:rPr>
              <w:t xml:space="preserve"> representing businesses and tax practitioners that meets with EU member states, moderated by the European Commission, to look for practical solutions to problems in the administration of the current VAT system, dealing e.g. with fraud and ways to improve the use of IT. The CFE representatives will remain Ian Hayes (UK) and Christian </w:t>
            </w:r>
            <w:proofErr w:type="spellStart"/>
            <w:r>
              <w:rPr>
                <w:sz w:val="20"/>
                <w:szCs w:val="20"/>
                <w:lang w:val="en"/>
              </w:rPr>
              <w:t>Amand</w:t>
            </w:r>
            <w:proofErr w:type="spellEnd"/>
            <w:r>
              <w:rPr>
                <w:sz w:val="20"/>
                <w:szCs w:val="20"/>
                <w:lang w:val="en"/>
              </w:rPr>
              <w:t xml:space="preserve"> (Belgium).</w:t>
            </w:r>
          </w:p>
          <w:p w:rsidR="002A3AC5" w:rsidRDefault="002A3AC5">
            <w:pPr>
              <w:spacing w:line="276" w:lineRule="auto"/>
              <w:ind w:left="426" w:right="171"/>
              <w:rPr>
                <w:sz w:val="20"/>
                <w:szCs w:val="20"/>
                <w:lang w:val="en"/>
              </w:rPr>
            </w:pPr>
          </w:p>
          <w:p w:rsidR="002A3AC5" w:rsidRDefault="002A3AC5">
            <w:pPr>
              <w:pStyle w:val="Lijstalinea"/>
              <w:spacing w:line="276" w:lineRule="auto"/>
              <w:ind w:right="171" w:hanging="360"/>
              <w:rPr>
                <w:sz w:val="20"/>
                <w:szCs w:val="20"/>
                <w:lang w:val="fr-BE" w:eastAsia="en-US"/>
              </w:rPr>
            </w:pPr>
            <w:r>
              <w:rPr>
                <w:sz w:val="20"/>
                <w:szCs w:val="20"/>
                <w:lang w:val="fr-BE" w:eastAsia="en-US"/>
              </w:rPr>
              <w:t>-</w:t>
            </w:r>
            <w:r>
              <w:rPr>
                <w:rFonts w:ascii="Times New Roman" w:hAnsi="Times New Roman"/>
                <w:sz w:val="14"/>
                <w:szCs w:val="14"/>
                <w:lang w:val="fr-BE" w:eastAsia="en-US"/>
              </w:rPr>
              <w:t xml:space="preserve">          </w:t>
            </w:r>
            <w:r>
              <w:rPr>
                <w:sz w:val="20"/>
                <w:szCs w:val="20"/>
                <w:lang w:val="fr-BE" w:eastAsia="en-US"/>
              </w:rPr>
              <w:t xml:space="preserve">EU VAT Forum on </w:t>
            </w:r>
            <w:proofErr w:type="spellStart"/>
            <w:r>
              <w:rPr>
                <w:sz w:val="20"/>
                <w:szCs w:val="20"/>
                <w:lang w:val="fr-BE" w:eastAsia="en-US"/>
              </w:rPr>
              <w:t>European</w:t>
            </w:r>
            <w:proofErr w:type="spellEnd"/>
            <w:r>
              <w:rPr>
                <w:sz w:val="20"/>
                <w:szCs w:val="20"/>
                <w:lang w:val="fr-BE" w:eastAsia="en-US"/>
              </w:rPr>
              <w:t xml:space="preserve"> Commission </w:t>
            </w:r>
            <w:proofErr w:type="spellStart"/>
            <w:r>
              <w:rPr>
                <w:sz w:val="20"/>
                <w:szCs w:val="20"/>
                <w:lang w:val="fr-BE" w:eastAsia="en-US"/>
              </w:rPr>
              <w:t>website</w:t>
            </w:r>
            <w:proofErr w:type="spellEnd"/>
            <w:r>
              <w:rPr>
                <w:sz w:val="20"/>
                <w:szCs w:val="20"/>
                <w:lang w:val="fr-BE" w:eastAsia="en-US"/>
              </w:rPr>
              <w:t xml:space="preserve">: </w:t>
            </w:r>
            <w:hyperlink r:id="rId7" w:history="1">
              <w:r>
                <w:rPr>
                  <w:rStyle w:val="Hyperlink"/>
                  <w:sz w:val="20"/>
                  <w:szCs w:val="20"/>
                  <w:lang w:val="fr-BE" w:eastAsia="en-US"/>
                </w:rPr>
                <w:t>EN</w:t>
              </w:r>
            </w:hyperlink>
            <w:r>
              <w:rPr>
                <w:sz w:val="20"/>
                <w:szCs w:val="20"/>
                <w:lang w:val="fr-BE" w:eastAsia="en-US"/>
              </w:rPr>
              <w:t xml:space="preserve"> (DE/FR </w:t>
            </w:r>
            <w:proofErr w:type="spellStart"/>
            <w:r>
              <w:rPr>
                <w:sz w:val="20"/>
                <w:szCs w:val="20"/>
                <w:lang w:val="fr-BE" w:eastAsia="en-US"/>
              </w:rPr>
              <w:t>available</w:t>
            </w:r>
            <w:proofErr w:type="spellEnd"/>
            <w:r>
              <w:rPr>
                <w:sz w:val="20"/>
                <w:szCs w:val="20"/>
                <w:lang w:val="fr-BE" w:eastAsia="en-US"/>
              </w:rPr>
              <w:t>)</w:t>
            </w:r>
          </w:p>
          <w:p w:rsidR="002A3AC5" w:rsidRDefault="002A3AC5">
            <w:pPr>
              <w:pStyle w:val="Lijstalinea"/>
              <w:spacing w:line="276" w:lineRule="auto"/>
              <w:ind w:hanging="360"/>
              <w:rPr>
                <w:sz w:val="20"/>
                <w:szCs w:val="20"/>
                <w:lang w:eastAsia="en-US"/>
              </w:rPr>
            </w:pPr>
            <w:r>
              <w:rPr>
                <w:sz w:val="20"/>
                <w:szCs w:val="20"/>
                <w:lang w:eastAsia="en-US"/>
              </w:rPr>
              <w:t>-</w:t>
            </w:r>
            <w:r>
              <w:rPr>
                <w:rFonts w:ascii="Times New Roman" w:hAnsi="Times New Roman"/>
                <w:sz w:val="14"/>
                <w:szCs w:val="14"/>
                <w:lang w:eastAsia="en-US"/>
              </w:rPr>
              <w:t xml:space="preserve">          </w:t>
            </w:r>
            <w:r>
              <w:rPr>
                <w:sz w:val="20"/>
                <w:szCs w:val="20"/>
                <w:lang w:eastAsia="en-US"/>
              </w:rPr>
              <w:t xml:space="preserve">List of members 2015-2018: </w:t>
            </w:r>
            <w:hyperlink r:id="rId8" w:history="1">
              <w:r>
                <w:rPr>
                  <w:rStyle w:val="Hyperlink"/>
                  <w:sz w:val="20"/>
                  <w:szCs w:val="20"/>
                  <w:lang w:eastAsia="en-US"/>
                </w:rPr>
                <w:t>EN</w:t>
              </w:r>
            </w:hyperlink>
          </w:p>
          <w:p w:rsidR="002A3AC5" w:rsidRDefault="002A3AC5">
            <w:pPr>
              <w:pStyle w:val="Lijstalinea"/>
              <w:spacing w:line="276" w:lineRule="auto"/>
              <w:rPr>
                <w:sz w:val="20"/>
                <w:szCs w:val="20"/>
              </w:rPr>
            </w:pPr>
          </w:p>
          <w:p w:rsidR="002A3AC5" w:rsidRDefault="002A3AC5">
            <w:pPr>
              <w:pStyle w:val="Lijstalinea"/>
              <w:spacing w:line="276" w:lineRule="auto"/>
              <w:rPr>
                <w:sz w:val="20"/>
                <w:szCs w:val="20"/>
              </w:rPr>
            </w:pPr>
          </w:p>
          <w:p w:rsidR="002A3AC5" w:rsidRDefault="002A3AC5">
            <w:pPr>
              <w:pStyle w:val="Lijstalinea"/>
              <w:spacing w:line="276" w:lineRule="auto"/>
              <w:ind w:hanging="360"/>
              <w:rPr>
                <w:sz w:val="20"/>
                <w:szCs w:val="20"/>
              </w:rPr>
            </w:pPr>
            <w:r>
              <w:rPr>
                <w:b/>
                <w:bCs/>
                <w:sz w:val="20"/>
                <w:szCs w:val="20"/>
              </w:rPr>
              <w:t>2.</w:t>
            </w:r>
            <w:r>
              <w:rPr>
                <w:rFonts w:ascii="Times New Roman" w:hAnsi="Times New Roman"/>
                <w:b/>
                <w:bCs/>
                <w:sz w:val="14"/>
                <w:szCs w:val="14"/>
              </w:rPr>
              <w:t xml:space="preserve">       </w:t>
            </w:r>
            <w:proofErr w:type="spellStart"/>
            <w:r>
              <w:rPr>
                <w:b/>
                <w:bCs/>
                <w:sz w:val="20"/>
                <w:szCs w:val="20"/>
              </w:rPr>
              <w:t>Commission</w:t>
            </w:r>
            <w:proofErr w:type="spellEnd"/>
            <w:r>
              <w:rPr>
                <w:b/>
                <w:bCs/>
                <w:sz w:val="20"/>
                <w:szCs w:val="20"/>
              </w:rPr>
              <w:t xml:space="preserve"> </w:t>
            </w:r>
            <w:proofErr w:type="spellStart"/>
            <w:r>
              <w:rPr>
                <w:b/>
                <w:bCs/>
                <w:sz w:val="20"/>
                <w:szCs w:val="20"/>
              </w:rPr>
              <w:t>asks</w:t>
            </w:r>
            <w:proofErr w:type="spellEnd"/>
            <w:r>
              <w:rPr>
                <w:b/>
                <w:bCs/>
                <w:sz w:val="20"/>
                <w:szCs w:val="20"/>
              </w:rPr>
              <w:t xml:space="preserve"> Belgium </w:t>
            </w:r>
            <w:proofErr w:type="spellStart"/>
            <w:r>
              <w:rPr>
                <w:b/>
                <w:bCs/>
                <w:sz w:val="20"/>
                <w:szCs w:val="20"/>
              </w:rPr>
              <w:t>to</w:t>
            </w:r>
            <w:proofErr w:type="spellEnd"/>
            <w:r>
              <w:rPr>
                <w:b/>
                <w:bCs/>
                <w:sz w:val="20"/>
                <w:szCs w:val="20"/>
              </w:rPr>
              <w:t xml:space="preserve"> </w:t>
            </w:r>
            <w:proofErr w:type="spellStart"/>
            <w:r>
              <w:rPr>
                <w:b/>
                <w:bCs/>
                <w:sz w:val="20"/>
                <w:szCs w:val="20"/>
              </w:rPr>
              <w:t>amend</w:t>
            </w:r>
            <w:proofErr w:type="spellEnd"/>
            <w:r>
              <w:rPr>
                <w:b/>
                <w:bCs/>
                <w:sz w:val="20"/>
                <w:szCs w:val="20"/>
              </w:rPr>
              <w:t xml:space="preserve"> </w:t>
            </w:r>
            <w:proofErr w:type="spellStart"/>
            <w:r>
              <w:rPr>
                <w:b/>
                <w:bCs/>
                <w:sz w:val="20"/>
                <w:szCs w:val="20"/>
              </w:rPr>
              <w:t>its</w:t>
            </w:r>
            <w:proofErr w:type="spellEnd"/>
            <w:r>
              <w:rPr>
                <w:b/>
                <w:bCs/>
                <w:sz w:val="20"/>
                <w:szCs w:val="20"/>
              </w:rPr>
              <w:t xml:space="preserve"> </w:t>
            </w:r>
            <w:proofErr w:type="spellStart"/>
            <w:r>
              <w:rPr>
                <w:b/>
                <w:bCs/>
                <w:sz w:val="20"/>
                <w:szCs w:val="20"/>
              </w:rPr>
              <w:t>rules</w:t>
            </w:r>
            <w:proofErr w:type="spellEnd"/>
            <w:r>
              <w:rPr>
                <w:b/>
                <w:bCs/>
                <w:sz w:val="20"/>
                <w:szCs w:val="20"/>
              </w:rPr>
              <w:t xml:space="preserve"> on tax benefits </w:t>
            </w:r>
            <w:proofErr w:type="spellStart"/>
            <w:r>
              <w:rPr>
                <w:b/>
                <w:bCs/>
                <w:sz w:val="20"/>
                <w:szCs w:val="20"/>
              </w:rPr>
              <w:t>linked</w:t>
            </w:r>
            <w:proofErr w:type="spellEnd"/>
            <w:r>
              <w:rPr>
                <w:b/>
                <w:bCs/>
                <w:sz w:val="20"/>
                <w:szCs w:val="20"/>
              </w:rPr>
              <w:t xml:space="preserve"> </w:t>
            </w:r>
            <w:proofErr w:type="spellStart"/>
            <w:r>
              <w:rPr>
                <w:b/>
                <w:bCs/>
                <w:sz w:val="20"/>
                <w:szCs w:val="20"/>
              </w:rPr>
              <w:t>to</w:t>
            </w:r>
            <w:proofErr w:type="spellEnd"/>
            <w:r>
              <w:rPr>
                <w:b/>
                <w:bCs/>
                <w:sz w:val="20"/>
                <w:szCs w:val="20"/>
              </w:rPr>
              <w:t xml:space="preserve"> personal or family </w:t>
            </w:r>
            <w:proofErr w:type="spellStart"/>
            <w:r>
              <w:rPr>
                <w:b/>
                <w:bCs/>
                <w:sz w:val="20"/>
                <w:szCs w:val="20"/>
              </w:rPr>
              <w:t>situation</w:t>
            </w:r>
            <w:proofErr w:type="spellEnd"/>
          </w:p>
          <w:p w:rsidR="002A3AC5" w:rsidRDefault="002A3AC5">
            <w:pPr>
              <w:pStyle w:val="Lijstalinea"/>
              <w:spacing w:line="276" w:lineRule="auto"/>
              <w:rPr>
                <w:sz w:val="20"/>
                <w:szCs w:val="20"/>
              </w:rPr>
            </w:pPr>
          </w:p>
          <w:p w:rsidR="002A3AC5" w:rsidRDefault="002A3AC5">
            <w:pPr>
              <w:pStyle w:val="Lijstalinea"/>
              <w:spacing w:line="276" w:lineRule="auto"/>
              <w:ind w:left="708"/>
              <w:rPr>
                <w:sz w:val="20"/>
                <w:szCs w:val="20"/>
                <w:lang w:val="en"/>
              </w:rPr>
            </w:pPr>
            <w:r>
              <w:rPr>
                <w:sz w:val="20"/>
                <w:szCs w:val="20"/>
                <w:lang w:val="en"/>
              </w:rPr>
              <w:t>On 16 July 2015, the European Commission has decided to send a reasoned opinion to Belgium, asking the country to treat equally income received from Belgium and from other EU or EEA member states with regard to tax benefits linked to the personal or family situation.</w:t>
            </w:r>
          </w:p>
          <w:p w:rsidR="002A3AC5" w:rsidRDefault="002A3AC5">
            <w:pPr>
              <w:pStyle w:val="Lijstalinea"/>
              <w:spacing w:line="276" w:lineRule="auto"/>
              <w:ind w:left="708"/>
              <w:rPr>
                <w:sz w:val="20"/>
                <w:szCs w:val="20"/>
                <w:lang w:val="en"/>
              </w:rPr>
            </w:pPr>
            <w:r>
              <w:rPr>
                <w:sz w:val="20"/>
                <w:szCs w:val="20"/>
                <w:lang w:val="en"/>
              </w:rPr>
              <w:t xml:space="preserve">Belgian law provides for such </w:t>
            </w:r>
            <w:r>
              <w:rPr>
                <w:sz w:val="20"/>
                <w:szCs w:val="20"/>
              </w:rPr>
              <w:t xml:space="preserve">tax benefits on </w:t>
            </w:r>
            <w:proofErr w:type="spellStart"/>
            <w:r>
              <w:rPr>
                <w:sz w:val="20"/>
                <w:szCs w:val="20"/>
              </w:rPr>
              <w:t>income</w:t>
            </w:r>
            <w:proofErr w:type="spellEnd"/>
            <w:r>
              <w:rPr>
                <w:sz w:val="20"/>
                <w:szCs w:val="20"/>
              </w:rPr>
              <w:t xml:space="preserve"> </w:t>
            </w:r>
            <w:proofErr w:type="spellStart"/>
            <w:r>
              <w:rPr>
                <w:sz w:val="20"/>
                <w:szCs w:val="20"/>
              </w:rPr>
              <w:t>received</w:t>
            </w:r>
            <w:proofErr w:type="spellEnd"/>
            <w:r>
              <w:rPr>
                <w:sz w:val="20"/>
                <w:szCs w:val="20"/>
              </w:rPr>
              <w:t xml:space="preserve"> in Belgium. For </w:t>
            </w:r>
            <w:proofErr w:type="spellStart"/>
            <w:r>
              <w:rPr>
                <w:sz w:val="20"/>
                <w:szCs w:val="20"/>
              </w:rPr>
              <w:t>income</w:t>
            </w:r>
            <w:proofErr w:type="spellEnd"/>
            <w:r>
              <w:rPr>
                <w:sz w:val="20"/>
                <w:szCs w:val="20"/>
              </w:rPr>
              <w:t xml:space="preserve"> </w:t>
            </w:r>
            <w:proofErr w:type="spellStart"/>
            <w:r>
              <w:rPr>
                <w:sz w:val="20"/>
                <w:szCs w:val="20"/>
              </w:rPr>
              <w:t>originating</w:t>
            </w:r>
            <w:proofErr w:type="spellEnd"/>
            <w:r>
              <w:rPr>
                <w:sz w:val="20"/>
                <w:szCs w:val="20"/>
              </w:rPr>
              <w:t xml:space="preserve"> in </w:t>
            </w:r>
            <w:proofErr w:type="spellStart"/>
            <w:r>
              <w:rPr>
                <w:sz w:val="20"/>
                <w:szCs w:val="20"/>
              </w:rPr>
              <w:t>another</w:t>
            </w:r>
            <w:proofErr w:type="spellEnd"/>
            <w:r>
              <w:rPr>
                <w:sz w:val="20"/>
                <w:szCs w:val="20"/>
              </w:rPr>
              <w:t xml:space="preserve"> state, Belgium </w:t>
            </w:r>
            <w:proofErr w:type="spellStart"/>
            <w:r>
              <w:rPr>
                <w:sz w:val="20"/>
                <w:szCs w:val="20"/>
              </w:rPr>
              <w:t>applies</w:t>
            </w:r>
            <w:proofErr w:type="spellEnd"/>
            <w:r>
              <w:rPr>
                <w:sz w:val="20"/>
                <w:szCs w:val="20"/>
              </w:rPr>
              <w:t xml:space="preserve"> a </w:t>
            </w:r>
            <w:proofErr w:type="spellStart"/>
            <w:r>
              <w:rPr>
                <w:sz w:val="20"/>
                <w:szCs w:val="20"/>
              </w:rPr>
              <w:t>rate</w:t>
            </w:r>
            <w:proofErr w:type="spellEnd"/>
            <w:r>
              <w:rPr>
                <w:sz w:val="20"/>
                <w:szCs w:val="20"/>
              </w:rPr>
              <w:t xml:space="preserve"> </w:t>
            </w:r>
            <w:proofErr w:type="spellStart"/>
            <w:r>
              <w:rPr>
                <w:sz w:val="20"/>
                <w:szCs w:val="20"/>
              </w:rPr>
              <w:t>corresponding</w:t>
            </w:r>
            <w:proofErr w:type="spellEnd"/>
            <w:r>
              <w:rPr>
                <w:sz w:val="20"/>
                <w:szCs w:val="20"/>
              </w:rPr>
              <w:t xml:space="preserve"> </w:t>
            </w:r>
            <w:proofErr w:type="spellStart"/>
            <w:r>
              <w:rPr>
                <w:sz w:val="20"/>
                <w:szCs w:val="20"/>
              </w:rPr>
              <w:t>to</w:t>
            </w:r>
            <w:proofErr w:type="spellEnd"/>
            <w:r>
              <w:rPr>
                <w:sz w:val="20"/>
                <w:szCs w:val="20"/>
              </w:rPr>
              <w:t xml:space="preserve"> the percentage of the </w:t>
            </w:r>
            <w:proofErr w:type="spellStart"/>
            <w:r>
              <w:rPr>
                <w:sz w:val="20"/>
                <w:szCs w:val="20"/>
              </w:rPr>
              <w:t>taxpayer's</w:t>
            </w:r>
            <w:proofErr w:type="spellEnd"/>
            <w:r>
              <w:rPr>
                <w:sz w:val="20"/>
                <w:szCs w:val="20"/>
              </w:rPr>
              <w:t xml:space="preserve"> </w:t>
            </w:r>
            <w:proofErr w:type="spellStart"/>
            <w:r>
              <w:rPr>
                <w:sz w:val="20"/>
                <w:szCs w:val="20"/>
              </w:rPr>
              <w:t>total</w:t>
            </w:r>
            <w:proofErr w:type="spellEnd"/>
            <w:r>
              <w:rPr>
                <w:sz w:val="20"/>
                <w:szCs w:val="20"/>
              </w:rPr>
              <w:t xml:space="preserve"> </w:t>
            </w:r>
            <w:proofErr w:type="spellStart"/>
            <w:r>
              <w:rPr>
                <w:sz w:val="20"/>
                <w:szCs w:val="20"/>
              </w:rPr>
              <w:t>income</w:t>
            </w:r>
            <w:proofErr w:type="spellEnd"/>
            <w:r>
              <w:rPr>
                <w:sz w:val="20"/>
                <w:szCs w:val="20"/>
              </w:rPr>
              <w:t xml:space="preserve"> </w:t>
            </w:r>
            <w:proofErr w:type="spellStart"/>
            <w:r>
              <w:rPr>
                <w:sz w:val="20"/>
                <w:szCs w:val="20"/>
              </w:rPr>
              <w:t>that</w:t>
            </w:r>
            <w:proofErr w:type="spellEnd"/>
            <w:r>
              <w:rPr>
                <w:sz w:val="20"/>
                <w:szCs w:val="20"/>
              </w:rPr>
              <w:t xml:space="preserve"> is </w:t>
            </w:r>
            <w:proofErr w:type="spellStart"/>
            <w:r>
              <w:rPr>
                <w:sz w:val="20"/>
                <w:szCs w:val="20"/>
              </w:rPr>
              <w:t>accounted</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domestic</w:t>
            </w:r>
            <w:proofErr w:type="spellEnd"/>
            <w:r>
              <w:rPr>
                <w:sz w:val="20"/>
                <w:szCs w:val="20"/>
              </w:rPr>
              <w:t xml:space="preserve"> </w:t>
            </w:r>
            <w:proofErr w:type="spellStart"/>
            <w:r>
              <w:rPr>
                <w:sz w:val="20"/>
                <w:szCs w:val="20"/>
              </w:rPr>
              <w:t>income</w:t>
            </w:r>
            <w:proofErr w:type="spellEnd"/>
            <w:r>
              <w:rPr>
                <w:sz w:val="20"/>
                <w:szCs w:val="20"/>
              </w:rPr>
              <w:t xml:space="preserve">. An </w:t>
            </w:r>
            <w:proofErr w:type="spellStart"/>
            <w:r>
              <w:rPr>
                <w:sz w:val="20"/>
                <w:szCs w:val="20"/>
              </w:rPr>
              <w:t>additional</w:t>
            </w:r>
            <w:proofErr w:type="spellEnd"/>
            <w:r>
              <w:rPr>
                <w:sz w:val="20"/>
                <w:szCs w:val="20"/>
              </w:rPr>
              <w:t xml:space="preserve"> tax </w:t>
            </w:r>
            <w:proofErr w:type="spellStart"/>
            <w:r>
              <w:rPr>
                <w:sz w:val="20"/>
                <w:szCs w:val="20"/>
              </w:rPr>
              <w:t>reduction</w:t>
            </w:r>
            <w:proofErr w:type="spellEnd"/>
            <w:r>
              <w:rPr>
                <w:sz w:val="20"/>
                <w:szCs w:val="20"/>
              </w:rPr>
              <w:t xml:space="preserve"> is </w:t>
            </w:r>
            <w:proofErr w:type="spellStart"/>
            <w:r>
              <w:rPr>
                <w:sz w:val="20"/>
                <w:szCs w:val="20"/>
              </w:rPr>
              <w:t>granted</w:t>
            </w:r>
            <w:proofErr w:type="spellEnd"/>
            <w:r>
              <w:rPr>
                <w:sz w:val="20"/>
                <w:szCs w:val="20"/>
              </w:rPr>
              <w:t xml:space="preserve"> </w:t>
            </w:r>
            <w:proofErr w:type="spellStart"/>
            <w:r>
              <w:rPr>
                <w:sz w:val="20"/>
                <w:szCs w:val="20"/>
              </w:rPr>
              <w:t>if</w:t>
            </w:r>
            <w:proofErr w:type="spellEnd"/>
            <w:r>
              <w:rPr>
                <w:sz w:val="20"/>
                <w:szCs w:val="20"/>
              </w:rPr>
              <w:t xml:space="preserve"> the </w:t>
            </w:r>
            <w:proofErr w:type="spellStart"/>
            <w:r>
              <w:rPr>
                <w:sz w:val="20"/>
                <w:szCs w:val="20"/>
              </w:rPr>
              <w:t>taxpayer's</w:t>
            </w:r>
            <w:proofErr w:type="spellEnd"/>
            <w:r>
              <w:rPr>
                <w:sz w:val="20"/>
                <w:szCs w:val="20"/>
              </w:rPr>
              <w:t xml:space="preserve"> personal or family </w:t>
            </w:r>
            <w:proofErr w:type="spellStart"/>
            <w:r>
              <w:rPr>
                <w:sz w:val="20"/>
                <w:szCs w:val="20"/>
              </w:rPr>
              <w:t>situation</w:t>
            </w:r>
            <w:proofErr w:type="spellEnd"/>
            <w:r>
              <w:rPr>
                <w:sz w:val="20"/>
                <w:szCs w:val="20"/>
              </w:rPr>
              <w:t xml:space="preserve"> has </w:t>
            </w:r>
            <w:proofErr w:type="spellStart"/>
            <w:r>
              <w:rPr>
                <w:sz w:val="20"/>
                <w:szCs w:val="20"/>
              </w:rPr>
              <w:t>not</w:t>
            </w:r>
            <w:proofErr w:type="spellEnd"/>
            <w:r>
              <w:rPr>
                <w:sz w:val="20"/>
                <w:szCs w:val="20"/>
              </w:rPr>
              <w:t xml:space="preserve"> been taken </w:t>
            </w:r>
            <w:proofErr w:type="spellStart"/>
            <w:r>
              <w:rPr>
                <w:sz w:val="20"/>
                <w:szCs w:val="20"/>
              </w:rPr>
              <w:t>into</w:t>
            </w:r>
            <w:proofErr w:type="spellEnd"/>
            <w:r>
              <w:rPr>
                <w:sz w:val="20"/>
                <w:szCs w:val="20"/>
              </w:rPr>
              <w:t xml:space="preserve"> account </w:t>
            </w:r>
            <w:proofErr w:type="spellStart"/>
            <w:r>
              <w:rPr>
                <w:sz w:val="20"/>
                <w:szCs w:val="20"/>
              </w:rPr>
              <w:t>by</w:t>
            </w:r>
            <w:proofErr w:type="spellEnd"/>
            <w:r>
              <w:rPr>
                <w:sz w:val="20"/>
                <w:szCs w:val="20"/>
              </w:rPr>
              <w:t xml:space="preserve"> the tax </w:t>
            </w:r>
            <w:proofErr w:type="spellStart"/>
            <w:r>
              <w:rPr>
                <w:sz w:val="20"/>
                <w:szCs w:val="20"/>
              </w:rPr>
              <w:t>authorities</w:t>
            </w:r>
            <w:proofErr w:type="spellEnd"/>
            <w:r>
              <w:rPr>
                <w:sz w:val="20"/>
                <w:szCs w:val="20"/>
              </w:rPr>
              <w:t xml:space="preserve"> of </w:t>
            </w:r>
            <w:proofErr w:type="spellStart"/>
            <w:r>
              <w:rPr>
                <w:sz w:val="20"/>
                <w:szCs w:val="20"/>
              </w:rPr>
              <w:t>other</w:t>
            </w:r>
            <w:proofErr w:type="spellEnd"/>
            <w:r>
              <w:rPr>
                <w:sz w:val="20"/>
                <w:szCs w:val="20"/>
              </w:rPr>
              <w:t xml:space="preserve"> </w:t>
            </w:r>
            <w:proofErr w:type="spellStart"/>
            <w:r>
              <w:rPr>
                <w:sz w:val="20"/>
                <w:szCs w:val="20"/>
              </w:rPr>
              <w:t>countries</w:t>
            </w:r>
            <w:proofErr w:type="spellEnd"/>
            <w:r>
              <w:rPr>
                <w:sz w:val="20"/>
                <w:szCs w:val="20"/>
              </w:rPr>
              <w:t xml:space="preserve">. </w:t>
            </w:r>
            <w:proofErr w:type="spellStart"/>
            <w:r>
              <w:rPr>
                <w:sz w:val="20"/>
                <w:szCs w:val="20"/>
              </w:rPr>
              <w:t>However</w:t>
            </w:r>
            <w:proofErr w:type="spellEnd"/>
            <w:r>
              <w:rPr>
                <w:sz w:val="20"/>
                <w:szCs w:val="20"/>
              </w:rPr>
              <w:t xml:space="preserve">, no </w:t>
            </w:r>
            <w:proofErr w:type="spellStart"/>
            <w:r>
              <w:rPr>
                <w:sz w:val="20"/>
                <w:szCs w:val="20"/>
              </w:rPr>
              <w:t>such</w:t>
            </w:r>
            <w:proofErr w:type="spellEnd"/>
            <w:r>
              <w:rPr>
                <w:sz w:val="20"/>
                <w:szCs w:val="20"/>
              </w:rPr>
              <w:t xml:space="preserve"> </w:t>
            </w:r>
            <w:proofErr w:type="spellStart"/>
            <w:r>
              <w:rPr>
                <w:sz w:val="20"/>
                <w:szCs w:val="20"/>
              </w:rPr>
              <w:t>additional</w:t>
            </w:r>
            <w:proofErr w:type="spellEnd"/>
            <w:r>
              <w:rPr>
                <w:sz w:val="20"/>
                <w:szCs w:val="20"/>
              </w:rPr>
              <w:t xml:space="preserve"> </w:t>
            </w:r>
            <w:proofErr w:type="spellStart"/>
            <w:r>
              <w:rPr>
                <w:sz w:val="20"/>
                <w:szCs w:val="20"/>
              </w:rPr>
              <w:t>reduction</w:t>
            </w:r>
            <w:proofErr w:type="spellEnd"/>
            <w:r>
              <w:rPr>
                <w:sz w:val="20"/>
                <w:szCs w:val="20"/>
              </w:rPr>
              <w:t xml:space="preserve"> is </w:t>
            </w:r>
            <w:proofErr w:type="spellStart"/>
            <w:r>
              <w:rPr>
                <w:sz w:val="20"/>
                <w:szCs w:val="20"/>
              </w:rPr>
              <w:t>granted</w:t>
            </w:r>
            <w:proofErr w:type="spellEnd"/>
            <w:r>
              <w:rPr>
                <w:sz w:val="20"/>
                <w:szCs w:val="20"/>
              </w:rPr>
              <w:t xml:space="preserve"> </w:t>
            </w:r>
            <w:proofErr w:type="spellStart"/>
            <w:r>
              <w:rPr>
                <w:sz w:val="20"/>
                <w:szCs w:val="20"/>
              </w:rPr>
              <w:t>if</w:t>
            </w:r>
            <w:proofErr w:type="spellEnd"/>
            <w:r>
              <w:rPr>
                <w:sz w:val="20"/>
                <w:szCs w:val="20"/>
              </w:rPr>
              <w:t xml:space="preserve"> the state in </w:t>
            </w:r>
            <w:proofErr w:type="spellStart"/>
            <w:r>
              <w:rPr>
                <w:sz w:val="20"/>
                <w:szCs w:val="20"/>
              </w:rPr>
              <w:t>which</w:t>
            </w:r>
            <w:proofErr w:type="spellEnd"/>
            <w:r>
              <w:rPr>
                <w:sz w:val="20"/>
                <w:szCs w:val="20"/>
              </w:rPr>
              <w:t xml:space="preserve"> the </w:t>
            </w:r>
            <w:proofErr w:type="spellStart"/>
            <w:r>
              <w:rPr>
                <w:sz w:val="20"/>
                <w:szCs w:val="20"/>
              </w:rPr>
              <w:t>income</w:t>
            </w:r>
            <w:proofErr w:type="spellEnd"/>
            <w:r>
              <w:rPr>
                <w:sz w:val="20"/>
                <w:szCs w:val="20"/>
              </w:rPr>
              <w:t xml:space="preserve"> </w:t>
            </w:r>
            <w:proofErr w:type="spellStart"/>
            <w:r>
              <w:rPr>
                <w:sz w:val="20"/>
                <w:szCs w:val="20"/>
              </w:rPr>
              <w:t>originates</w:t>
            </w:r>
            <w:proofErr w:type="spellEnd"/>
            <w:r>
              <w:rPr>
                <w:sz w:val="20"/>
                <w:szCs w:val="20"/>
              </w:rPr>
              <w:t xml:space="preserve"> offers the </w:t>
            </w:r>
            <w:proofErr w:type="spellStart"/>
            <w:r>
              <w:rPr>
                <w:sz w:val="20"/>
                <w:szCs w:val="20"/>
              </w:rPr>
              <w:t>taxpayer</w:t>
            </w:r>
            <w:proofErr w:type="spellEnd"/>
            <w:r>
              <w:rPr>
                <w:sz w:val="20"/>
                <w:szCs w:val="20"/>
              </w:rPr>
              <w:t xml:space="preserve"> the option of </w:t>
            </w:r>
            <w:proofErr w:type="spellStart"/>
            <w:r>
              <w:rPr>
                <w:sz w:val="20"/>
                <w:szCs w:val="20"/>
              </w:rPr>
              <w:t>receiving</w:t>
            </w:r>
            <w:proofErr w:type="spellEnd"/>
            <w:r>
              <w:rPr>
                <w:sz w:val="20"/>
                <w:szCs w:val="20"/>
              </w:rPr>
              <w:t xml:space="preserve"> these benefits in </w:t>
            </w:r>
            <w:proofErr w:type="spellStart"/>
            <w:r>
              <w:rPr>
                <w:sz w:val="20"/>
                <w:szCs w:val="20"/>
              </w:rPr>
              <w:t>that</w:t>
            </w:r>
            <w:proofErr w:type="spellEnd"/>
            <w:r>
              <w:rPr>
                <w:sz w:val="20"/>
                <w:szCs w:val="20"/>
              </w:rPr>
              <w:t xml:space="preserve"> state, even </w:t>
            </w:r>
            <w:proofErr w:type="spellStart"/>
            <w:r>
              <w:rPr>
                <w:sz w:val="20"/>
                <w:szCs w:val="20"/>
              </w:rPr>
              <w:t>if</w:t>
            </w:r>
            <w:proofErr w:type="spellEnd"/>
            <w:r>
              <w:rPr>
                <w:sz w:val="20"/>
                <w:szCs w:val="20"/>
              </w:rPr>
              <w:t xml:space="preserve"> the </w:t>
            </w:r>
            <w:proofErr w:type="spellStart"/>
            <w:r>
              <w:rPr>
                <w:sz w:val="20"/>
                <w:szCs w:val="20"/>
              </w:rPr>
              <w:t>taxpayer</w:t>
            </w:r>
            <w:proofErr w:type="spellEnd"/>
            <w:r>
              <w:rPr>
                <w:sz w:val="20"/>
                <w:szCs w:val="20"/>
              </w:rPr>
              <w:t xml:space="preserve"> has </w:t>
            </w:r>
            <w:proofErr w:type="spellStart"/>
            <w:r>
              <w:rPr>
                <w:sz w:val="20"/>
                <w:szCs w:val="20"/>
              </w:rPr>
              <w:t>not</w:t>
            </w:r>
            <w:proofErr w:type="spellEnd"/>
            <w:r>
              <w:rPr>
                <w:sz w:val="20"/>
                <w:szCs w:val="20"/>
              </w:rPr>
              <w:t xml:space="preserve"> </w:t>
            </w:r>
            <w:proofErr w:type="spellStart"/>
            <w:r>
              <w:rPr>
                <w:sz w:val="20"/>
                <w:szCs w:val="20"/>
              </w:rPr>
              <w:t>exercised</w:t>
            </w:r>
            <w:proofErr w:type="spellEnd"/>
            <w:r>
              <w:rPr>
                <w:sz w:val="20"/>
                <w:szCs w:val="20"/>
              </w:rPr>
              <w:t xml:space="preserve"> </w:t>
            </w:r>
            <w:proofErr w:type="spellStart"/>
            <w:r>
              <w:rPr>
                <w:sz w:val="20"/>
                <w:szCs w:val="20"/>
              </w:rPr>
              <w:t>this</w:t>
            </w:r>
            <w:proofErr w:type="spellEnd"/>
            <w:r>
              <w:rPr>
                <w:sz w:val="20"/>
                <w:szCs w:val="20"/>
              </w:rPr>
              <w:t xml:space="preserve"> option.</w:t>
            </w:r>
          </w:p>
          <w:p w:rsidR="002A3AC5" w:rsidRDefault="002A3AC5">
            <w:pPr>
              <w:pStyle w:val="Lijstalinea"/>
              <w:spacing w:line="276" w:lineRule="auto"/>
              <w:ind w:left="708"/>
              <w:rPr>
                <w:sz w:val="20"/>
                <w:szCs w:val="20"/>
              </w:rPr>
            </w:pPr>
            <w:r>
              <w:rPr>
                <w:sz w:val="20"/>
                <w:szCs w:val="20"/>
              </w:rPr>
              <w:t xml:space="preserve">The </w:t>
            </w:r>
            <w:proofErr w:type="spellStart"/>
            <w:r>
              <w:rPr>
                <w:sz w:val="20"/>
                <w:szCs w:val="20"/>
              </w:rPr>
              <w:t>Belgian</w:t>
            </w:r>
            <w:proofErr w:type="spellEnd"/>
            <w:r>
              <w:rPr>
                <w:sz w:val="20"/>
                <w:szCs w:val="20"/>
              </w:rPr>
              <w:t xml:space="preserve"> </w:t>
            </w:r>
            <w:proofErr w:type="spellStart"/>
            <w:r>
              <w:rPr>
                <w:sz w:val="20"/>
                <w:szCs w:val="20"/>
              </w:rPr>
              <w:t>authorities</w:t>
            </w:r>
            <w:proofErr w:type="spellEnd"/>
            <w:r>
              <w:rPr>
                <w:sz w:val="20"/>
                <w:szCs w:val="20"/>
              </w:rPr>
              <w:t xml:space="preserve"> have </w:t>
            </w:r>
            <w:proofErr w:type="spellStart"/>
            <w:r>
              <w:rPr>
                <w:sz w:val="20"/>
                <w:szCs w:val="20"/>
              </w:rPr>
              <w:t>two</w:t>
            </w:r>
            <w:proofErr w:type="spellEnd"/>
            <w:r>
              <w:rPr>
                <w:sz w:val="20"/>
                <w:szCs w:val="20"/>
              </w:rPr>
              <w:t xml:space="preserve"> </w:t>
            </w:r>
            <w:proofErr w:type="spellStart"/>
            <w:r>
              <w:rPr>
                <w:sz w:val="20"/>
                <w:szCs w:val="20"/>
              </w:rPr>
              <w:t>months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notify</w:t>
            </w:r>
            <w:proofErr w:type="spellEnd"/>
            <w:r>
              <w:rPr>
                <w:sz w:val="20"/>
                <w:szCs w:val="20"/>
              </w:rPr>
              <w:t xml:space="preserve"> the </w:t>
            </w:r>
            <w:proofErr w:type="spellStart"/>
            <w:r>
              <w:rPr>
                <w:sz w:val="20"/>
                <w:szCs w:val="20"/>
              </w:rPr>
              <w:t>Commission</w:t>
            </w:r>
            <w:proofErr w:type="spellEnd"/>
            <w:r>
              <w:rPr>
                <w:sz w:val="20"/>
                <w:szCs w:val="20"/>
              </w:rPr>
              <w:t xml:space="preserve"> of the </w:t>
            </w:r>
            <w:proofErr w:type="spellStart"/>
            <w:r>
              <w:rPr>
                <w:sz w:val="20"/>
                <w:szCs w:val="20"/>
              </w:rPr>
              <w:t>measures</w:t>
            </w:r>
            <w:proofErr w:type="spellEnd"/>
            <w:r>
              <w:rPr>
                <w:sz w:val="20"/>
                <w:szCs w:val="20"/>
              </w:rPr>
              <w:t xml:space="preserve"> </w:t>
            </w:r>
            <w:proofErr w:type="spellStart"/>
            <w:r>
              <w:rPr>
                <w:sz w:val="20"/>
                <w:szCs w:val="20"/>
              </w:rPr>
              <w:t>they</w:t>
            </w:r>
            <w:proofErr w:type="spellEnd"/>
            <w:r>
              <w:rPr>
                <w:sz w:val="20"/>
                <w:szCs w:val="20"/>
              </w:rPr>
              <w:t xml:space="preserve"> </w:t>
            </w:r>
            <w:proofErr w:type="spellStart"/>
            <w:r>
              <w:rPr>
                <w:sz w:val="20"/>
                <w:szCs w:val="20"/>
              </w:rPr>
              <w:t>intend</w:t>
            </w:r>
            <w:proofErr w:type="spellEnd"/>
            <w:r>
              <w:rPr>
                <w:sz w:val="20"/>
                <w:szCs w:val="20"/>
              </w:rPr>
              <w:t xml:space="preserve"> </w:t>
            </w:r>
            <w:proofErr w:type="spellStart"/>
            <w:r>
              <w:rPr>
                <w:sz w:val="20"/>
                <w:szCs w:val="20"/>
              </w:rPr>
              <w:t>to</w:t>
            </w:r>
            <w:proofErr w:type="spellEnd"/>
            <w:r>
              <w:rPr>
                <w:sz w:val="20"/>
                <w:szCs w:val="20"/>
              </w:rPr>
              <w:t xml:space="preserve"> take. In the absence of </w:t>
            </w:r>
            <w:proofErr w:type="spellStart"/>
            <w:r>
              <w:rPr>
                <w:sz w:val="20"/>
                <w:szCs w:val="20"/>
              </w:rPr>
              <w:t>such</w:t>
            </w:r>
            <w:proofErr w:type="spellEnd"/>
            <w:r>
              <w:rPr>
                <w:sz w:val="20"/>
                <w:szCs w:val="20"/>
              </w:rPr>
              <w:t xml:space="preserve"> </w:t>
            </w:r>
            <w:proofErr w:type="spellStart"/>
            <w:r>
              <w:rPr>
                <w:sz w:val="20"/>
                <w:szCs w:val="20"/>
              </w:rPr>
              <w:t>notification</w:t>
            </w:r>
            <w:proofErr w:type="spellEnd"/>
            <w:r>
              <w:rPr>
                <w:sz w:val="20"/>
                <w:szCs w:val="20"/>
              </w:rPr>
              <w:t xml:space="preserve">, the </w:t>
            </w:r>
            <w:proofErr w:type="spellStart"/>
            <w:r>
              <w:rPr>
                <w:sz w:val="20"/>
                <w:szCs w:val="20"/>
              </w:rPr>
              <w:t>Commission</w:t>
            </w:r>
            <w:proofErr w:type="spellEnd"/>
            <w:r>
              <w:rPr>
                <w:sz w:val="20"/>
                <w:szCs w:val="20"/>
              </w:rPr>
              <w:t xml:space="preserve"> </w:t>
            </w:r>
            <w:proofErr w:type="spellStart"/>
            <w:r>
              <w:rPr>
                <w:sz w:val="20"/>
                <w:szCs w:val="20"/>
              </w:rPr>
              <w:t>may</w:t>
            </w:r>
            <w:proofErr w:type="spellEnd"/>
            <w:r>
              <w:rPr>
                <w:sz w:val="20"/>
                <w:szCs w:val="20"/>
              </w:rPr>
              <w:t xml:space="preserve"> </w:t>
            </w:r>
            <w:proofErr w:type="spellStart"/>
            <w:r>
              <w:rPr>
                <w:sz w:val="20"/>
                <w:szCs w:val="20"/>
              </w:rPr>
              <w:t>refer</w:t>
            </w:r>
            <w:proofErr w:type="spellEnd"/>
            <w:r>
              <w:rPr>
                <w:sz w:val="20"/>
                <w:szCs w:val="20"/>
              </w:rPr>
              <w:t xml:space="preserve"> Belgium </w:t>
            </w:r>
            <w:proofErr w:type="spellStart"/>
            <w:r>
              <w:rPr>
                <w:sz w:val="20"/>
                <w:szCs w:val="20"/>
              </w:rPr>
              <w:t>to</w:t>
            </w:r>
            <w:proofErr w:type="spellEnd"/>
            <w:r>
              <w:rPr>
                <w:sz w:val="20"/>
                <w:szCs w:val="20"/>
              </w:rPr>
              <w:t xml:space="preserve"> the EU Court of </w:t>
            </w:r>
            <w:proofErr w:type="spellStart"/>
            <w:r>
              <w:rPr>
                <w:sz w:val="20"/>
                <w:szCs w:val="20"/>
              </w:rPr>
              <w:t>Justice</w:t>
            </w:r>
            <w:proofErr w:type="spellEnd"/>
            <w:r>
              <w:rPr>
                <w:sz w:val="20"/>
                <w:szCs w:val="20"/>
              </w:rPr>
              <w:t xml:space="preserve"> (CJEU).</w:t>
            </w:r>
          </w:p>
          <w:p w:rsidR="002A3AC5" w:rsidRDefault="002A3AC5">
            <w:pPr>
              <w:pStyle w:val="Lijstalinea"/>
              <w:spacing w:line="276" w:lineRule="auto"/>
              <w:rPr>
                <w:sz w:val="20"/>
                <w:szCs w:val="20"/>
                <w:lang w:val="en"/>
              </w:rPr>
            </w:pPr>
          </w:p>
          <w:p w:rsidR="002A3AC5" w:rsidRDefault="002A3AC5">
            <w:pPr>
              <w:pStyle w:val="Lijstalinea"/>
              <w:spacing w:line="276" w:lineRule="auto"/>
              <w:ind w:hanging="360"/>
              <w:rPr>
                <w:sz w:val="20"/>
                <w:szCs w:val="20"/>
              </w:rPr>
            </w:pPr>
            <w:r>
              <w:rPr>
                <w:sz w:val="20"/>
                <w:szCs w:val="20"/>
              </w:rPr>
              <w:t>-</w:t>
            </w:r>
            <w:r>
              <w:rPr>
                <w:rFonts w:ascii="Times New Roman" w:hAnsi="Times New Roman"/>
                <w:sz w:val="14"/>
                <w:szCs w:val="14"/>
              </w:rPr>
              <w:t xml:space="preserve">          </w:t>
            </w:r>
            <w:proofErr w:type="spellStart"/>
            <w:r>
              <w:rPr>
                <w:sz w:val="20"/>
                <w:szCs w:val="20"/>
              </w:rPr>
              <w:t>July</w:t>
            </w:r>
            <w:proofErr w:type="spellEnd"/>
            <w:r>
              <w:rPr>
                <w:sz w:val="20"/>
                <w:szCs w:val="20"/>
              </w:rPr>
              <w:t xml:space="preserve"> </w:t>
            </w:r>
            <w:proofErr w:type="spellStart"/>
            <w:r>
              <w:rPr>
                <w:sz w:val="20"/>
                <w:szCs w:val="20"/>
              </w:rPr>
              <w:t>infringement</w:t>
            </w:r>
            <w:proofErr w:type="spellEnd"/>
            <w:r>
              <w:rPr>
                <w:sz w:val="20"/>
                <w:szCs w:val="20"/>
              </w:rPr>
              <w:t xml:space="preserve"> package: </w:t>
            </w:r>
            <w:hyperlink r:id="rId9" w:history="1">
              <w:r>
                <w:rPr>
                  <w:rStyle w:val="Hyperlink"/>
                  <w:sz w:val="20"/>
                  <w:szCs w:val="20"/>
                </w:rPr>
                <w:t>EN</w:t>
              </w:r>
            </w:hyperlink>
            <w:r>
              <w:rPr>
                <w:sz w:val="20"/>
                <w:szCs w:val="20"/>
              </w:rPr>
              <w:t xml:space="preserve"> (FR, DE, ES, NL, IT, PT, EL, LT, MT, RO </w:t>
            </w:r>
            <w:proofErr w:type="spellStart"/>
            <w:r>
              <w:rPr>
                <w:sz w:val="20"/>
                <w:szCs w:val="20"/>
              </w:rPr>
              <w:t>available</w:t>
            </w:r>
            <w:proofErr w:type="spellEnd"/>
            <w:r>
              <w:rPr>
                <w:sz w:val="20"/>
                <w:szCs w:val="20"/>
              </w:rPr>
              <w:t>)</w:t>
            </w:r>
          </w:p>
          <w:p w:rsidR="002A3AC5" w:rsidRDefault="002A3AC5">
            <w:pPr>
              <w:pStyle w:val="Lijstalinea"/>
              <w:spacing w:line="276" w:lineRule="auto"/>
              <w:rPr>
                <w:sz w:val="20"/>
                <w:szCs w:val="20"/>
                <w:lang w:val="fr-BE"/>
              </w:rPr>
            </w:pPr>
          </w:p>
          <w:p w:rsidR="002A3AC5" w:rsidRDefault="002A3AC5">
            <w:pPr>
              <w:pStyle w:val="Lijstalinea"/>
              <w:spacing w:line="276" w:lineRule="auto"/>
              <w:rPr>
                <w:sz w:val="20"/>
                <w:szCs w:val="20"/>
              </w:rPr>
            </w:pPr>
          </w:p>
          <w:p w:rsidR="002A3AC5" w:rsidRDefault="002A3AC5">
            <w:pPr>
              <w:pStyle w:val="Lijstalinea"/>
              <w:spacing w:line="276" w:lineRule="auto"/>
              <w:ind w:hanging="360"/>
              <w:rPr>
                <w:b/>
                <w:bCs/>
                <w:sz w:val="20"/>
                <w:szCs w:val="20"/>
              </w:rPr>
            </w:pPr>
            <w:r>
              <w:rPr>
                <w:b/>
                <w:bCs/>
                <w:sz w:val="20"/>
                <w:szCs w:val="20"/>
              </w:rPr>
              <w:t>3.</w:t>
            </w:r>
            <w:r>
              <w:rPr>
                <w:rFonts w:ascii="Times New Roman" w:hAnsi="Times New Roman"/>
                <w:b/>
                <w:bCs/>
                <w:sz w:val="14"/>
                <w:szCs w:val="14"/>
              </w:rPr>
              <w:t xml:space="preserve">       </w:t>
            </w:r>
            <w:r>
              <w:rPr>
                <w:b/>
                <w:bCs/>
                <w:sz w:val="20"/>
                <w:szCs w:val="20"/>
              </w:rPr>
              <w:t xml:space="preserve">CJEU : France </w:t>
            </w:r>
            <w:proofErr w:type="spellStart"/>
            <w:r>
              <w:rPr>
                <w:b/>
                <w:bCs/>
                <w:sz w:val="20"/>
                <w:szCs w:val="20"/>
              </w:rPr>
              <w:t>may</w:t>
            </w:r>
            <w:proofErr w:type="spellEnd"/>
            <w:r>
              <w:rPr>
                <w:b/>
                <w:bCs/>
                <w:sz w:val="20"/>
                <w:szCs w:val="20"/>
              </w:rPr>
              <w:t xml:space="preserve"> </w:t>
            </w:r>
            <w:proofErr w:type="spellStart"/>
            <w:r>
              <w:rPr>
                <w:b/>
                <w:bCs/>
                <w:sz w:val="20"/>
                <w:szCs w:val="20"/>
              </w:rPr>
              <w:t>not</w:t>
            </w:r>
            <w:proofErr w:type="spellEnd"/>
            <w:r>
              <w:rPr>
                <w:b/>
                <w:bCs/>
                <w:sz w:val="20"/>
                <w:szCs w:val="20"/>
              </w:rPr>
              <w:t xml:space="preserve"> make </w:t>
            </w:r>
            <w:proofErr w:type="spellStart"/>
            <w:r>
              <w:rPr>
                <w:b/>
                <w:bCs/>
                <w:sz w:val="20"/>
                <w:szCs w:val="20"/>
              </w:rPr>
              <w:t>equal</w:t>
            </w:r>
            <w:proofErr w:type="spellEnd"/>
            <w:r>
              <w:rPr>
                <w:b/>
                <w:bCs/>
                <w:sz w:val="20"/>
                <w:szCs w:val="20"/>
              </w:rPr>
              <w:t xml:space="preserve"> treatment of </w:t>
            </w:r>
            <w:proofErr w:type="spellStart"/>
            <w:r>
              <w:rPr>
                <w:b/>
                <w:bCs/>
                <w:sz w:val="20"/>
                <w:szCs w:val="20"/>
              </w:rPr>
              <w:t>donations</w:t>
            </w:r>
            <w:proofErr w:type="spellEnd"/>
            <w:r>
              <w:rPr>
                <w:b/>
                <w:bCs/>
                <w:sz w:val="20"/>
                <w:szCs w:val="20"/>
              </w:rPr>
              <w:t xml:space="preserve"> or </w:t>
            </w:r>
            <w:proofErr w:type="spellStart"/>
            <w:r>
              <w:rPr>
                <w:b/>
                <w:bCs/>
                <w:sz w:val="20"/>
                <w:szCs w:val="20"/>
              </w:rPr>
              <w:t>bequests</w:t>
            </w:r>
            <w:proofErr w:type="spellEnd"/>
            <w:r>
              <w:rPr>
                <w:b/>
                <w:bCs/>
                <w:sz w:val="20"/>
                <w:szCs w:val="20"/>
              </w:rPr>
              <w:t xml:space="preserve"> </w:t>
            </w:r>
            <w:proofErr w:type="spellStart"/>
            <w:r>
              <w:rPr>
                <w:b/>
                <w:bCs/>
                <w:sz w:val="20"/>
                <w:szCs w:val="20"/>
              </w:rPr>
              <w:t>to</w:t>
            </w:r>
            <w:proofErr w:type="spellEnd"/>
            <w:r>
              <w:rPr>
                <w:b/>
                <w:bCs/>
                <w:sz w:val="20"/>
                <w:szCs w:val="20"/>
              </w:rPr>
              <w:t xml:space="preserve"> public </w:t>
            </w:r>
            <w:proofErr w:type="spellStart"/>
            <w:r>
              <w:rPr>
                <w:b/>
                <w:bCs/>
                <w:sz w:val="20"/>
                <w:szCs w:val="20"/>
              </w:rPr>
              <w:t>bodies</w:t>
            </w:r>
            <w:proofErr w:type="spellEnd"/>
            <w:r>
              <w:rPr>
                <w:b/>
                <w:bCs/>
                <w:sz w:val="20"/>
                <w:szCs w:val="20"/>
              </w:rPr>
              <w:t xml:space="preserve"> or </w:t>
            </w:r>
            <w:proofErr w:type="spellStart"/>
            <w:r>
              <w:rPr>
                <w:b/>
                <w:bCs/>
                <w:sz w:val="20"/>
                <w:szCs w:val="20"/>
              </w:rPr>
              <w:t>charitable</w:t>
            </w:r>
            <w:proofErr w:type="spellEnd"/>
            <w:r>
              <w:rPr>
                <w:b/>
                <w:bCs/>
                <w:sz w:val="20"/>
                <w:szCs w:val="20"/>
              </w:rPr>
              <w:t xml:space="preserve"> </w:t>
            </w:r>
            <w:proofErr w:type="spellStart"/>
            <w:r>
              <w:rPr>
                <w:b/>
                <w:bCs/>
                <w:sz w:val="20"/>
                <w:szCs w:val="20"/>
              </w:rPr>
              <w:t>organisations</w:t>
            </w:r>
            <w:proofErr w:type="spellEnd"/>
            <w:r>
              <w:rPr>
                <w:b/>
                <w:bCs/>
                <w:sz w:val="20"/>
                <w:szCs w:val="20"/>
              </w:rPr>
              <w:t xml:space="preserve"> in </w:t>
            </w:r>
            <w:proofErr w:type="spellStart"/>
            <w:r>
              <w:rPr>
                <w:b/>
                <w:bCs/>
                <w:sz w:val="20"/>
                <w:szCs w:val="20"/>
              </w:rPr>
              <w:t>another</w:t>
            </w:r>
            <w:proofErr w:type="spellEnd"/>
            <w:r>
              <w:rPr>
                <w:b/>
                <w:bCs/>
                <w:sz w:val="20"/>
                <w:szCs w:val="20"/>
              </w:rPr>
              <w:t xml:space="preserve"> EU/EEA member state </w:t>
            </w:r>
            <w:proofErr w:type="spellStart"/>
            <w:r>
              <w:rPr>
                <w:b/>
                <w:bCs/>
                <w:sz w:val="20"/>
                <w:szCs w:val="20"/>
              </w:rPr>
              <w:t>conditional</w:t>
            </w:r>
            <w:proofErr w:type="spellEnd"/>
            <w:r>
              <w:rPr>
                <w:b/>
                <w:bCs/>
                <w:sz w:val="20"/>
                <w:szCs w:val="20"/>
              </w:rPr>
              <w:t xml:space="preserve"> </w:t>
            </w:r>
            <w:proofErr w:type="spellStart"/>
            <w:r>
              <w:rPr>
                <w:b/>
                <w:bCs/>
                <w:sz w:val="20"/>
                <w:szCs w:val="20"/>
              </w:rPr>
              <w:t>upon</w:t>
            </w:r>
            <w:proofErr w:type="spellEnd"/>
            <w:r>
              <w:rPr>
                <w:b/>
                <w:bCs/>
                <w:sz w:val="20"/>
                <w:szCs w:val="20"/>
              </w:rPr>
              <w:t xml:space="preserve"> </w:t>
            </w:r>
            <w:proofErr w:type="spellStart"/>
            <w:r>
              <w:rPr>
                <w:b/>
                <w:bCs/>
                <w:sz w:val="20"/>
                <w:szCs w:val="20"/>
              </w:rPr>
              <w:t>bilateral</w:t>
            </w:r>
            <w:proofErr w:type="spellEnd"/>
            <w:r>
              <w:rPr>
                <w:b/>
                <w:bCs/>
                <w:sz w:val="20"/>
                <w:szCs w:val="20"/>
              </w:rPr>
              <w:t xml:space="preserve"> agreement</w:t>
            </w:r>
          </w:p>
          <w:p w:rsidR="002A3AC5" w:rsidRDefault="002A3AC5">
            <w:pPr>
              <w:pStyle w:val="Lijstalinea"/>
              <w:spacing w:line="276" w:lineRule="auto"/>
              <w:rPr>
                <w:sz w:val="20"/>
                <w:szCs w:val="20"/>
              </w:rPr>
            </w:pPr>
          </w:p>
          <w:p w:rsidR="002A3AC5" w:rsidRDefault="002A3AC5">
            <w:pPr>
              <w:pStyle w:val="Lijstalinea"/>
              <w:spacing w:line="276" w:lineRule="auto"/>
              <w:rPr>
                <w:sz w:val="20"/>
                <w:szCs w:val="20"/>
              </w:rPr>
            </w:pPr>
            <w:r>
              <w:rPr>
                <w:sz w:val="20"/>
                <w:szCs w:val="20"/>
              </w:rPr>
              <w:t xml:space="preserve">On 16 </w:t>
            </w:r>
            <w:proofErr w:type="spellStart"/>
            <w:r>
              <w:rPr>
                <w:sz w:val="20"/>
                <w:szCs w:val="20"/>
              </w:rPr>
              <w:t>July</w:t>
            </w:r>
            <w:proofErr w:type="spellEnd"/>
            <w:r>
              <w:rPr>
                <w:sz w:val="20"/>
                <w:szCs w:val="20"/>
              </w:rPr>
              <w:t xml:space="preserve"> 2015, the CJEU </w:t>
            </w:r>
            <w:proofErr w:type="spellStart"/>
            <w:r>
              <w:rPr>
                <w:sz w:val="20"/>
                <w:szCs w:val="20"/>
              </w:rPr>
              <w:t>decided</w:t>
            </w:r>
            <w:proofErr w:type="spellEnd"/>
            <w:r>
              <w:rPr>
                <w:sz w:val="20"/>
                <w:szCs w:val="20"/>
              </w:rPr>
              <w:t xml:space="preserve"> in case C-485/14, </w:t>
            </w:r>
            <w:proofErr w:type="spellStart"/>
            <w:r>
              <w:rPr>
                <w:sz w:val="20"/>
                <w:szCs w:val="20"/>
              </w:rPr>
              <w:t>Commission</w:t>
            </w:r>
            <w:proofErr w:type="spellEnd"/>
            <w:r>
              <w:rPr>
                <w:sz w:val="20"/>
                <w:szCs w:val="20"/>
              </w:rPr>
              <w:t xml:space="preserve"> v. France, </w:t>
            </w:r>
            <w:proofErr w:type="spellStart"/>
            <w:r>
              <w:rPr>
                <w:sz w:val="20"/>
                <w:szCs w:val="20"/>
              </w:rPr>
              <w:t>that</w:t>
            </w:r>
            <w:proofErr w:type="spellEnd"/>
            <w:r>
              <w:rPr>
                <w:sz w:val="20"/>
                <w:szCs w:val="20"/>
              </w:rPr>
              <w:t xml:space="preserve"> France, </w:t>
            </w:r>
            <w:proofErr w:type="spellStart"/>
            <w:r>
              <w:rPr>
                <w:sz w:val="20"/>
                <w:szCs w:val="20"/>
              </w:rPr>
              <w:t>when</w:t>
            </w:r>
            <w:proofErr w:type="spellEnd"/>
            <w:r>
              <w:rPr>
                <w:sz w:val="20"/>
                <w:szCs w:val="20"/>
              </w:rPr>
              <w:t xml:space="preserve"> </w:t>
            </w:r>
            <w:proofErr w:type="spellStart"/>
            <w:r>
              <w:rPr>
                <w:sz w:val="20"/>
                <w:szCs w:val="20"/>
              </w:rPr>
              <w:t>relieving</w:t>
            </w:r>
            <w:proofErr w:type="spellEnd"/>
            <w:r>
              <w:rPr>
                <w:sz w:val="20"/>
                <w:szCs w:val="20"/>
              </w:rPr>
              <w:t xml:space="preserve"> </w:t>
            </w:r>
            <w:proofErr w:type="spellStart"/>
            <w:r>
              <w:rPr>
                <w:sz w:val="20"/>
                <w:szCs w:val="20"/>
              </w:rPr>
              <w:t>donations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bequests</w:t>
            </w:r>
            <w:proofErr w:type="spellEnd"/>
            <w:r>
              <w:rPr>
                <w:sz w:val="20"/>
                <w:szCs w:val="20"/>
              </w:rPr>
              <w:t xml:space="preserve"> </w:t>
            </w:r>
            <w:proofErr w:type="spellStart"/>
            <w:r>
              <w:rPr>
                <w:sz w:val="20"/>
                <w:szCs w:val="20"/>
              </w:rPr>
              <w:t>to</w:t>
            </w:r>
            <w:proofErr w:type="spellEnd"/>
            <w:r>
              <w:rPr>
                <w:sz w:val="20"/>
                <w:szCs w:val="20"/>
              </w:rPr>
              <w:t xml:space="preserve"> public </w:t>
            </w:r>
            <w:proofErr w:type="spellStart"/>
            <w:r>
              <w:rPr>
                <w:sz w:val="20"/>
                <w:szCs w:val="20"/>
              </w:rPr>
              <w:t>bodies</w:t>
            </w:r>
            <w:proofErr w:type="spellEnd"/>
            <w:r>
              <w:rPr>
                <w:sz w:val="20"/>
                <w:szCs w:val="20"/>
              </w:rPr>
              <w:t xml:space="preserve"> or </w:t>
            </w:r>
            <w:proofErr w:type="spellStart"/>
            <w:r>
              <w:rPr>
                <w:sz w:val="20"/>
                <w:szCs w:val="20"/>
              </w:rPr>
              <w:t>charitable</w:t>
            </w:r>
            <w:proofErr w:type="spellEnd"/>
            <w:r>
              <w:rPr>
                <w:sz w:val="20"/>
                <w:szCs w:val="20"/>
              </w:rPr>
              <w:t xml:space="preserve"> </w:t>
            </w:r>
            <w:proofErr w:type="spellStart"/>
            <w:r>
              <w:rPr>
                <w:sz w:val="20"/>
                <w:szCs w:val="20"/>
              </w:rPr>
              <w:t>organisations</w:t>
            </w:r>
            <w:proofErr w:type="spellEnd"/>
            <w:r>
              <w:rPr>
                <w:sz w:val="20"/>
                <w:szCs w:val="20"/>
              </w:rPr>
              <w:t xml:space="preserve"> </w:t>
            </w:r>
            <w:proofErr w:type="spellStart"/>
            <w:r>
              <w:rPr>
                <w:sz w:val="20"/>
                <w:szCs w:val="20"/>
              </w:rPr>
              <w:t>from</w:t>
            </w:r>
            <w:proofErr w:type="spellEnd"/>
            <w:r>
              <w:rPr>
                <w:sz w:val="20"/>
                <w:szCs w:val="20"/>
              </w:rPr>
              <w:t xml:space="preserve"> gift tax, </w:t>
            </w:r>
            <w:proofErr w:type="spellStart"/>
            <w:r>
              <w:rPr>
                <w:sz w:val="20"/>
                <w:szCs w:val="20"/>
              </w:rPr>
              <w:t>may</w:t>
            </w:r>
            <w:proofErr w:type="spellEnd"/>
            <w:r>
              <w:rPr>
                <w:sz w:val="20"/>
                <w:szCs w:val="20"/>
              </w:rPr>
              <w:t xml:space="preserve"> </w:t>
            </w:r>
            <w:proofErr w:type="spellStart"/>
            <w:r>
              <w:rPr>
                <w:sz w:val="20"/>
                <w:szCs w:val="20"/>
              </w:rPr>
              <w:t>not</w:t>
            </w:r>
            <w:proofErr w:type="spellEnd"/>
            <w:r>
              <w:rPr>
                <w:sz w:val="20"/>
                <w:szCs w:val="20"/>
              </w:rPr>
              <w:t xml:space="preserve"> </w:t>
            </w:r>
            <w:proofErr w:type="spellStart"/>
            <w:r>
              <w:rPr>
                <w:sz w:val="20"/>
                <w:szCs w:val="20"/>
              </w:rPr>
              <w:t>impose</w:t>
            </w:r>
            <w:proofErr w:type="spellEnd"/>
            <w:r>
              <w:rPr>
                <w:sz w:val="20"/>
                <w:szCs w:val="20"/>
              </w:rPr>
              <w:t xml:space="preserve"> the </w:t>
            </w:r>
            <w:proofErr w:type="spellStart"/>
            <w:r>
              <w:rPr>
                <w:sz w:val="20"/>
                <w:szCs w:val="20"/>
              </w:rPr>
              <w:t>condition</w:t>
            </w:r>
            <w:proofErr w:type="spellEnd"/>
            <w:r>
              <w:rPr>
                <w:sz w:val="20"/>
                <w:szCs w:val="20"/>
              </w:rPr>
              <w:t xml:space="preserve"> </w:t>
            </w:r>
            <w:proofErr w:type="spellStart"/>
            <w:r>
              <w:rPr>
                <w:sz w:val="20"/>
                <w:szCs w:val="20"/>
              </w:rPr>
              <w:t>that</w:t>
            </w:r>
            <w:proofErr w:type="spellEnd"/>
            <w:r>
              <w:rPr>
                <w:sz w:val="20"/>
                <w:szCs w:val="20"/>
              </w:rPr>
              <w:t xml:space="preserve"> these </w:t>
            </w:r>
            <w:proofErr w:type="spellStart"/>
            <w:r>
              <w:rPr>
                <w:sz w:val="20"/>
                <w:szCs w:val="20"/>
              </w:rPr>
              <w:t>organisations</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established</w:t>
            </w:r>
            <w:proofErr w:type="spellEnd"/>
            <w:r>
              <w:rPr>
                <w:sz w:val="20"/>
                <w:szCs w:val="20"/>
              </w:rPr>
              <w:t xml:space="preserve"> in France or in </w:t>
            </w:r>
            <w:proofErr w:type="spellStart"/>
            <w:r>
              <w:rPr>
                <w:sz w:val="20"/>
                <w:szCs w:val="20"/>
              </w:rPr>
              <w:t>an</w:t>
            </w:r>
            <w:proofErr w:type="spellEnd"/>
            <w:r>
              <w:rPr>
                <w:sz w:val="20"/>
                <w:szCs w:val="20"/>
              </w:rPr>
              <w:t xml:space="preserve"> EU or EEA member state </w:t>
            </w:r>
            <w:proofErr w:type="spellStart"/>
            <w:r>
              <w:rPr>
                <w:sz w:val="20"/>
                <w:szCs w:val="20"/>
              </w:rPr>
              <w:t>that</w:t>
            </w:r>
            <w:proofErr w:type="spellEnd"/>
            <w:r>
              <w:rPr>
                <w:sz w:val="20"/>
                <w:szCs w:val="20"/>
              </w:rPr>
              <w:t xml:space="preserve"> has </w:t>
            </w:r>
            <w:proofErr w:type="spellStart"/>
            <w:r>
              <w:rPr>
                <w:sz w:val="20"/>
                <w:szCs w:val="20"/>
              </w:rPr>
              <w:t>concluded</w:t>
            </w:r>
            <w:proofErr w:type="spellEnd"/>
            <w:r>
              <w:rPr>
                <w:sz w:val="20"/>
                <w:szCs w:val="20"/>
              </w:rPr>
              <w:t xml:space="preserve"> a </w:t>
            </w:r>
            <w:proofErr w:type="spellStart"/>
            <w:r>
              <w:rPr>
                <w:sz w:val="20"/>
                <w:szCs w:val="20"/>
              </w:rPr>
              <w:t>bilateral</w:t>
            </w:r>
            <w:proofErr w:type="spellEnd"/>
            <w:r>
              <w:rPr>
                <w:sz w:val="20"/>
                <w:szCs w:val="20"/>
              </w:rPr>
              <w:t xml:space="preserve"> agreement </w:t>
            </w:r>
            <w:proofErr w:type="spellStart"/>
            <w:r>
              <w:rPr>
                <w:sz w:val="20"/>
                <w:szCs w:val="20"/>
              </w:rPr>
              <w:t>with</w:t>
            </w:r>
            <w:proofErr w:type="spellEnd"/>
            <w:r>
              <w:rPr>
                <w:sz w:val="20"/>
                <w:szCs w:val="20"/>
              </w:rPr>
              <w:t xml:space="preserve"> France, as </w:t>
            </w:r>
            <w:proofErr w:type="spellStart"/>
            <w:r>
              <w:rPr>
                <w:sz w:val="20"/>
                <w:szCs w:val="20"/>
              </w:rPr>
              <w:t>such</w:t>
            </w:r>
            <w:proofErr w:type="spellEnd"/>
            <w:r>
              <w:rPr>
                <w:sz w:val="20"/>
                <w:szCs w:val="20"/>
              </w:rPr>
              <w:t xml:space="preserve"> </w:t>
            </w:r>
            <w:proofErr w:type="spellStart"/>
            <w:r>
              <w:rPr>
                <w:sz w:val="20"/>
                <w:szCs w:val="20"/>
              </w:rPr>
              <w:t>condition</w:t>
            </w:r>
            <w:proofErr w:type="spellEnd"/>
            <w:r>
              <w:rPr>
                <w:sz w:val="20"/>
                <w:szCs w:val="20"/>
              </w:rPr>
              <w:t xml:space="preserve"> </w:t>
            </w:r>
            <w:proofErr w:type="spellStart"/>
            <w:r>
              <w:rPr>
                <w:sz w:val="20"/>
                <w:szCs w:val="20"/>
              </w:rPr>
              <w:t>violates</w:t>
            </w:r>
            <w:proofErr w:type="spellEnd"/>
            <w:r>
              <w:rPr>
                <w:sz w:val="20"/>
                <w:szCs w:val="20"/>
              </w:rPr>
              <w:t xml:space="preserve"> the free </w:t>
            </w:r>
            <w:proofErr w:type="spellStart"/>
            <w:r>
              <w:rPr>
                <w:sz w:val="20"/>
                <w:szCs w:val="20"/>
              </w:rPr>
              <w:t>movement</w:t>
            </w:r>
            <w:proofErr w:type="spellEnd"/>
            <w:r>
              <w:rPr>
                <w:sz w:val="20"/>
                <w:szCs w:val="20"/>
              </w:rPr>
              <w:t xml:space="preserve"> of </w:t>
            </w:r>
            <w:proofErr w:type="spellStart"/>
            <w:r>
              <w:rPr>
                <w:sz w:val="20"/>
                <w:szCs w:val="20"/>
              </w:rPr>
              <w:t>capital</w:t>
            </w:r>
            <w:proofErr w:type="spellEnd"/>
            <w:r>
              <w:rPr>
                <w:sz w:val="20"/>
                <w:szCs w:val="20"/>
              </w:rPr>
              <w:t>.</w:t>
            </w:r>
          </w:p>
          <w:p w:rsidR="002A3AC5" w:rsidRDefault="002A3AC5">
            <w:pPr>
              <w:pStyle w:val="Lijstalinea"/>
              <w:spacing w:line="276" w:lineRule="auto"/>
              <w:rPr>
                <w:sz w:val="20"/>
                <w:szCs w:val="20"/>
              </w:rPr>
            </w:pPr>
          </w:p>
          <w:p w:rsidR="002A3AC5" w:rsidRDefault="002A3AC5">
            <w:pPr>
              <w:pStyle w:val="Lijstalinea"/>
              <w:spacing w:line="276" w:lineRule="auto"/>
              <w:rPr>
                <w:sz w:val="20"/>
                <w:szCs w:val="20"/>
              </w:rPr>
            </w:pPr>
          </w:p>
          <w:p w:rsidR="002A3AC5" w:rsidRDefault="002A3AC5">
            <w:pPr>
              <w:pStyle w:val="Lijstalinea"/>
              <w:spacing w:line="276" w:lineRule="auto"/>
              <w:ind w:left="993" w:hanging="360"/>
              <w:rPr>
                <w:sz w:val="20"/>
                <w:szCs w:val="20"/>
                <w:lang w:val="fr-BE"/>
              </w:rPr>
            </w:pPr>
            <w:r>
              <w:rPr>
                <w:sz w:val="20"/>
                <w:szCs w:val="20"/>
                <w:lang w:val="fr-BE"/>
              </w:rPr>
              <w:t>-</w:t>
            </w:r>
            <w:r>
              <w:rPr>
                <w:rFonts w:ascii="Times New Roman" w:hAnsi="Times New Roman"/>
                <w:sz w:val="14"/>
                <w:szCs w:val="14"/>
                <w:lang w:val="fr-BE"/>
              </w:rPr>
              <w:t xml:space="preserve">          </w:t>
            </w:r>
            <w:proofErr w:type="spellStart"/>
            <w:r>
              <w:rPr>
                <w:sz w:val="20"/>
                <w:szCs w:val="20"/>
              </w:rPr>
              <w:t>Judgment</w:t>
            </w:r>
            <w:proofErr w:type="spellEnd"/>
            <w:r>
              <w:rPr>
                <w:sz w:val="20"/>
                <w:szCs w:val="20"/>
              </w:rPr>
              <w:t xml:space="preserve"> : </w:t>
            </w:r>
            <w:hyperlink r:id="rId10" w:history="1">
              <w:r>
                <w:rPr>
                  <w:rStyle w:val="Hyperlink"/>
                  <w:sz w:val="20"/>
                  <w:szCs w:val="20"/>
                </w:rPr>
                <w:t>FR</w:t>
              </w:r>
            </w:hyperlink>
          </w:p>
          <w:p w:rsidR="002A3AC5" w:rsidRDefault="002A3AC5">
            <w:pPr>
              <w:pStyle w:val="Lijstalinea"/>
              <w:spacing w:line="276" w:lineRule="auto"/>
              <w:rPr>
                <w:sz w:val="20"/>
                <w:szCs w:val="20"/>
              </w:rPr>
            </w:pPr>
          </w:p>
          <w:p w:rsidR="002A3AC5" w:rsidRDefault="002A3AC5">
            <w:pPr>
              <w:pStyle w:val="Lijstalinea"/>
              <w:spacing w:line="276" w:lineRule="auto"/>
              <w:ind w:hanging="360"/>
              <w:rPr>
                <w:b/>
                <w:bCs/>
                <w:sz w:val="20"/>
                <w:szCs w:val="20"/>
              </w:rPr>
            </w:pPr>
            <w:r>
              <w:rPr>
                <w:b/>
                <w:bCs/>
                <w:sz w:val="20"/>
                <w:szCs w:val="20"/>
              </w:rPr>
              <w:t>4.</w:t>
            </w:r>
            <w:r>
              <w:rPr>
                <w:rFonts w:ascii="Times New Roman" w:hAnsi="Times New Roman"/>
                <w:b/>
                <w:bCs/>
                <w:sz w:val="14"/>
                <w:szCs w:val="14"/>
              </w:rPr>
              <w:t xml:space="preserve">       </w:t>
            </w:r>
            <w:r>
              <w:rPr>
                <w:b/>
                <w:bCs/>
                <w:sz w:val="20"/>
                <w:szCs w:val="20"/>
              </w:rPr>
              <w:t xml:space="preserve">EP </w:t>
            </w:r>
            <w:proofErr w:type="spellStart"/>
            <w:r>
              <w:rPr>
                <w:b/>
                <w:bCs/>
                <w:sz w:val="20"/>
                <w:szCs w:val="20"/>
              </w:rPr>
              <w:t>votes</w:t>
            </w:r>
            <w:proofErr w:type="spellEnd"/>
            <w:r>
              <w:rPr>
                <w:b/>
                <w:bCs/>
                <w:sz w:val="20"/>
                <w:szCs w:val="20"/>
              </w:rPr>
              <w:t xml:space="preserve"> in </w:t>
            </w:r>
            <w:proofErr w:type="spellStart"/>
            <w:r>
              <w:rPr>
                <w:b/>
                <w:bCs/>
                <w:sz w:val="20"/>
                <w:szCs w:val="20"/>
              </w:rPr>
              <w:t>favour</w:t>
            </w:r>
            <w:proofErr w:type="spellEnd"/>
            <w:r>
              <w:rPr>
                <w:b/>
                <w:bCs/>
                <w:sz w:val="20"/>
                <w:szCs w:val="20"/>
              </w:rPr>
              <w:t xml:space="preserve"> of country </w:t>
            </w:r>
            <w:proofErr w:type="spellStart"/>
            <w:r>
              <w:rPr>
                <w:b/>
                <w:bCs/>
                <w:sz w:val="20"/>
                <w:szCs w:val="20"/>
              </w:rPr>
              <w:t>by</w:t>
            </w:r>
            <w:proofErr w:type="spellEnd"/>
            <w:r>
              <w:rPr>
                <w:b/>
                <w:bCs/>
                <w:sz w:val="20"/>
                <w:szCs w:val="20"/>
              </w:rPr>
              <w:t xml:space="preserve"> country </w:t>
            </w:r>
            <w:proofErr w:type="spellStart"/>
            <w:r>
              <w:rPr>
                <w:b/>
                <w:bCs/>
                <w:sz w:val="20"/>
                <w:szCs w:val="20"/>
              </w:rPr>
              <w:t>publication</w:t>
            </w:r>
            <w:proofErr w:type="spellEnd"/>
            <w:r>
              <w:rPr>
                <w:b/>
                <w:bCs/>
                <w:sz w:val="20"/>
                <w:szCs w:val="20"/>
              </w:rPr>
              <w:t xml:space="preserve"> of tax information</w:t>
            </w:r>
          </w:p>
          <w:p w:rsidR="002A3AC5" w:rsidRDefault="002A3AC5">
            <w:pPr>
              <w:pStyle w:val="Lijstalinea"/>
              <w:spacing w:line="276" w:lineRule="auto"/>
              <w:rPr>
                <w:b/>
                <w:bCs/>
                <w:sz w:val="20"/>
                <w:szCs w:val="20"/>
              </w:rPr>
            </w:pPr>
          </w:p>
          <w:p w:rsidR="002A3AC5" w:rsidRDefault="002A3AC5">
            <w:pPr>
              <w:pStyle w:val="Lijstalinea"/>
              <w:spacing w:line="276" w:lineRule="auto"/>
              <w:rPr>
                <w:sz w:val="20"/>
                <w:szCs w:val="20"/>
              </w:rPr>
            </w:pPr>
            <w:r>
              <w:rPr>
                <w:sz w:val="20"/>
                <w:szCs w:val="20"/>
              </w:rPr>
              <w:t xml:space="preserve">On 8 </w:t>
            </w:r>
            <w:proofErr w:type="spellStart"/>
            <w:r>
              <w:rPr>
                <w:sz w:val="20"/>
                <w:szCs w:val="20"/>
              </w:rPr>
              <w:t>July</w:t>
            </w:r>
            <w:proofErr w:type="spellEnd"/>
            <w:r>
              <w:rPr>
                <w:sz w:val="20"/>
                <w:szCs w:val="20"/>
              </w:rPr>
              <w:t xml:space="preserve"> 2015, the </w:t>
            </w:r>
            <w:proofErr w:type="spellStart"/>
            <w:r>
              <w:rPr>
                <w:sz w:val="20"/>
                <w:szCs w:val="20"/>
              </w:rPr>
              <w:t>plenary</w:t>
            </w:r>
            <w:proofErr w:type="spellEnd"/>
            <w:r>
              <w:rPr>
                <w:sz w:val="20"/>
                <w:szCs w:val="20"/>
              </w:rPr>
              <w:t xml:space="preserve"> of the European </w:t>
            </w:r>
            <w:proofErr w:type="spellStart"/>
            <w:r>
              <w:rPr>
                <w:sz w:val="20"/>
                <w:szCs w:val="20"/>
              </w:rPr>
              <w:t>Parliament</w:t>
            </w:r>
            <w:proofErr w:type="spellEnd"/>
            <w:r>
              <w:rPr>
                <w:sz w:val="20"/>
                <w:szCs w:val="20"/>
              </w:rPr>
              <w:t xml:space="preserve"> </w:t>
            </w:r>
            <w:proofErr w:type="spellStart"/>
            <w:r>
              <w:rPr>
                <w:sz w:val="20"/>
                <w:szCs w:val="20"/>
              </w:rPr>
              <w:t>voted</w:t>
            </w:r>
            <w:proofErr w:type="spellEnd"/>
            <w:r>
              <w:rPr>
                <w:sz w:val="20"/>
                <w:szCs w:val="20"/>
              </w:rPr>
              <w:t xml:space="preserve"> in </w:t>
            </w:r>
            <w:proofErr w:type="spellStart"/>
            <w:r>
              <w:rPr>
                <w:sz w:val="20"/>
                <w:szCs w:val="20"/>
              </w:rPr>
              <w:t>favour</w:t>
            </w:r>
            <w:proofErr w:type="spellEnd"/>
            <w:r>
              <w:rPr>
                <w:sz w:val="20"/>
                <w:szCs w:val="20"/>
              </w:rPr>
              <w:t xml:space="preserve"> of </w:t>
            </w:r>
            <w:proofErr w:type="spellStart"/>
            <w:r>
              <w:rPr>
                <w:sz w:val="20"/>
                <w:szCs w:val="20"/>
              </w:rPr>
              <w:t>an</w:t>
            </w:r>
            <w:proofErr w:type="spellEnd"/>
            <w:r>
              <w:rPr>
                <w:sz w:val="20"/>
                <w:szCs w:val="20"/>
              </w:rPr>
              <w:t xml:space="preserve"> </w:t>
            </w:r>
            <w:proofErr w:type="spellStart"/>
            <w:r>
              <w:rPr>
                <w:sz w:val="20"/>
                <w:szCs w:val="20"/>
              </w:rPr>
              <w:t>amendment</w:t>
            </w:r>
            <w:proofErr w:type="spellEnd"/>
            <w:r>
              <w:rPr>
                <w:sz w:val="20"/>
                <w:szCs w:val="20"/>
              </w:rPr>
              <w:t xml:space="preserve"> </w:t>
            </w:r>
            <w:proofErr w:type="spellStart"/>
            <w:r>
              <w:rPr>
                <w:sz w:val="20"/>
                <w:szCs w:val="20"/>
              </w:rPr>
              <w:t>to</w:t>
            </w:r>
            <w:proofErr w:type="spellEnd"/>
            <w:r>
              <w:rPr>
                <w:sz w:val="20"/>
                <w:szCs w:val="20"/>
              </w:rPr>
              <w:t xml:space="preserve"> the EU Accounting Directive </w:t>
            </w:r>
            <w:proofErr w:type="spellStart"/>
            <w:r>
              <w:rPr>
                <w:sz w:val="20"/>
                <w:szCs w:val="20"/>
              </w:rPr>
              <w:t>introducing</w:t>
            </w:r>
            <w:proofErr w:type="spellEnd"/>
            <w:r>
              <w:rPr>
                <w:sz w:val="20"/>
                <w:szCs w:val="20"/>
              </w:rPr>
              <w:t xml:space="preserve"> </w:t>
            </w:r>
            <w:proofErr w:type="spellStart"/>
            <w:r>
              <w:rPr>
                <w:sz w:val="20"/>
                <w:szCs w:val="20"/>
              </w:rPr>
              <w:t>an</w:t>
            </w:r>
            <w:proofErr w:type="spellEnd"/>
            <w:r>
              <w:rPr>
                <w:sz w:val="20"/>
                <w:szCs w:val="20"/>
              </w:rPr>
              <w:t xml:space="preserve"> </w:t>
            </w:r>
            <w:proofErr w:type="spellStart"/>
            <w:r>
              <w:rPr>
                <w:sz w:val="20"/>
                <w:szCs w:val="20"/>
              </w:rPr>
              <w:t>obligation</w:t>
            </w:r>
            <w:proofErr w:type="spellEnd"/>
            <w:r>
              <w:rPr>
                <w:sz w:val="20"/>
                <w:szCs w:val="20"/>
              </w:rPr>
              <w:t xml:space="preserve"> of large </w:t>
            </w:r>
            <w:proofErr w:type="spellStart"/>
            <w:r>
              <w:rPr>
                <w:sz w:val="20"/>
                <w:szCs w:val="20"/>
              </w:rPr>
              <w:t>and</w:t>
            </w:r>
            <w:proofErr w:type="spellEnd"/>
            <w:r>
              <w:rPr>
                <w:sz w:val="20"/>
                <w:szCs w:val="20"/>
              </w:rPr>
              <w:t xml:space="preserve"> public interest companies </w:t>
            </w:r>
            <w:proofErr w:type="spellStart"/>
            <w:r>
              <w:rPr>
                <w:sz w:val="20"/>
                <w:szCs w:val="20"/>
              </w:rPr>
              <w:t>to</w:t>
            </w:r>
            <w:proofErr w:type="spellEnd"/>
            <w:r>
              <w:rPr>
                <w:sz w:val="20"/>
                <w:szCs w:val="20"/>
              </w:rPr>
              <w:t xml:space="preserve"> </w:t>
            </w:r>
            <w:proofErr w:type="spellStart"/>
            <w:r>
              <w:rPr>
                <w:sz w:val="20"/>
                <w:szCs w:val="20"/>
              </w:rPr>
              <w:t>publish</w:t>
            </w:r>
            <w:proofErr w:type="spellEnd"/>
            <w:r>
              <w:rPr>
                <w:sz w:val="20"/>
                <w:szCs w:val="20"/>
              </w:rPr>
              <w:t xml:space="preserve"> on a </w:t>
            </w:r>
            <w:proofErr w:type="spellStart"/>
            <w:r>
              <w:rPr>
                <w:sz w:val="20"/>
                <w:szCs w:val="20"/>
              </w:rPr>
              <w:t>an</w:t>
            </w:r>
            <w:proofErr w:type="spellEnd"/>
            <w:r>
              <w:rPr>
                <w:sz w:val="20"/>
                <w:szCs w:val="20"/>
              </w:rPr>
              <w:t xml:space="preserve"> </w:t>
            </w:r>
            <w:proofErr w:type="spellStart"/>
            <w:r>
              <w:rPr>
                <w:sz w:val="20"/>
                <w:szCs w:val="20"/>
              </w:rPr>
              <w:t>annual</w:t>
            </w:r>
            <w:proofErr w:type="spellEnd"/>
            <w:r>
              <w:rPr>
                <w:sz w:val="20"/>
                <w:szCs w:val="20"/>
              </w:rPr>
              <w:t xml:space="preserve"> basis, country </w:t>
            </w:r>
            <w:proofErr w:type="spellStart"/>
            <w:r>
              <w:rPr>
                <w:sz w:val="20"/>
                <w:szCs w:val="20"/>
              </w:rPr>
              <w:t>by</w:t>
            </w:r>
            <w:proofErr w:type="spellEnd"/>
            <w:r>
              <w:rPr>
                <w:sz w:val="20"/>
                <w:szCs w:val="20"/>
              </w:rPr>
              <w:t xml:space="preserve"> country, the </w:t>
            </w:r>
            <w:proofErr w:type="spellStart"/>
            <w:r>
              <w:rPr>
                <w:sz w:val="20"/>
                <w:szCs w:val="20"/>
              </w:rPr>
              <w:t>profits</w:t>
            </w:r>
            <w:proofErr w:type="spellEnd"/>
            <w:r>
              <w:rPr>
                <w:sz w:val="20"/>
                <w:szCs w:val="20"/>
              </w:rPr>
              <w:t xml:space="preserve"> or </w:t>
            </w:r>
            <w:proofErr w:type="spellStart"/>
            <w:r>
              <w:rPr>
                <w:sz w:val="20"/>
                <w:szCs w:val="20"/>
              </w:rPr>
              <w:t>losses</w:t>
            </w:r>
            <w:proofErr w:type="spellEnd"/>
            <w:r>
              <w:rPr>
                <w:sz w:val="20"/>
                <w:szCs w:val="20"/>
              </w:rPr>
              <w:t xml:space="preserve"> made </w:t>
            </w:r>
            <w:proofErr w:type="spellStart"/>
            <w:r>
              <w:rPr>
                <w:sz w:val="20"/>
                <w:szCs w:val="20"/>
              </w:rPr>
              <w:t>and</w:t>
            </w:r>
            <w:proofErr w:type="spellEnd"/>
            <w:r>
              <w:rPr>
                <w:sz w:val="20"/>
                <w:szCs w:val="20"/>
              </w:rPr>
              <w:t xml:space="preserve"> the </w:t>
            </w:r>
            <w:proofErr w:type="spellStart"/>
            <w:r>
              <w:rPr>
                <w:sz w:val="20"/>
                <w:szCs w:val="20"/>
              </w:rPr>
              <w:t>taxes</w:t>
            </w:r>
            <w:proofErr w:type="spellEnd"/>
            <w:r>
              <w:rPr>
                <w:sz w:val="20"/>
                <w:szCs w:val="20"/>
              </w:rPr>
              <w:t xml:space="preserve"> </w:t>
            </w:r>
            <w:proofErr w:type="spellStart"/>
            <w:r>
              <w:rPr>
                <w:sz w:val="20"/>
                <w:szCs w:val="20"/>
              </w:rPr>
              <w:t>paid</w:t>
            </w:r>
            <w:proofErr w:type="spellEnd"/>
            <w:r>
              <w:rPr>
                <w:sz w:val="20"/>
                <w:szCs w:val="20"/>
              </w:rPr>
              <w:t xml:space="preserve"> on these; </w:t>
            </w:r>
            <w:proofErr w:type="spellStart"/>
            <w:r>
              <w:rPr>
                <w:sz w:val="20"/>
                <w:szCs w:val="20"/>
              </w:rPr>
              <w:t>furthermore</w:t>
            </w:r>
            <w:proofErr w:type="spellEnd"/>
            <w:r>
              <w:rPr>
                <w:sz w:val="20"/>
                <w:szCs w:val="20"/>
              </w:rPr>
              <w:t xml:space="preserve">, large companies </w:t>
            </w:r>
            <w:proofErr w:type="spellStart"/>
            <w:r>
              <w:rPr>
                <w:sz w:val="20"/>
                <w:szCs w:val="20"/>
              </w:rPr>
              <w:t>should</w:t>
            </w:r>
            <w:proofErr w:type="spellEnd"/>
            <w:r>
              <w:rPr>
                <w:sz w:val="20"/>
                <w:szCs w:val="20"/>
              </w:rPr>
              <w:t xml:space="preserve"> </w:t>
            </w:r>
            <w:proofErr w:type="spellStart"/>
            <w:r>
              <w:rPr>
                <w:sz w:val="20"/>
                <w:szCs w:val="20"/>
              </w:rPr>
              <w:t>publish</w:t>
            </w:r>
            <w:proofErr w:type="spellEnd"/>
            <w:r>
              <w:rPr>
                <w:sz w:val="20"/>
                <w:szCs w:val="20"/>
              </w:rPr>
              <w:t xml:space="preserve"> a </w:t>
            </w:r>
            <w:proofErr w:type="spellStart"/>
            <w:r>
              <w:rPr>
                <w:sz w:val="20"/>
                <w:szCs w:val="20"/>
              </w:rPr>
              <w:t>predefined</w:t>
            </w:r>
            <w:proofErr w:type="spellEnd"/>
            <w:r>
              <w:rPr>
                <w:sz w:val="20"/>
                <w:szCs w:val="20"/>
              </w:rPr>
              <w:t xml:space="preserve"> set of “</w:t>
            </w:r>
            <w:proofErr w:type="spellStart"/>
            <w:r>
              <w:rPr>
                <w:sz w:val="20"/>
                <w:szCs w:val="20"/>
              </w:rPr>
              <w:t>essential</w:t>
            </w:r>
            <w:proofErr w:type="spellEnd"/>
            <w:r>
              <w:rPr>
                <w:sz w:val="20"/>
                <w:szCs w:val="20"/>
              </w:rPr>
              <w:t xml:space="preserve"> </w:t>
            </w:r>
            <w:proofErr w:type="spellStart"/>
            <w:r>
              <w:rPr>
                <w:sz w:val="20"/>
                <w:szCs w:val="20"/>
              </w:rPr>
              <w:t>elements</w:t>
            </w:r>
            <w:proofErr w:type="spellEnd"/>
            <w:r>
              <w:rPr>
                <w:sz w:val="20"/>
                <w:szCs w:val="20"/>
              </w:rPr>
              <w:t xml:space="preserve"> of </w:t>
            </w:r>
            <w:proofErr w:type="spellStart"/>
            <w:r>
              <w:rPr>
                <w:sz w:val="20"/>
                <w:szCs w:val="20"/>
              </w:rPr>
              <w:t>and</w:t>
            </w:r>
            <w:proofErr w:type="spellEnd"/>
            <w:r>
              <w:rPr>
                <w:sz w:val="20"/>
                <w:szCs w:val="20"/>
              </w:rPr>
              <w:t xml:space="preserve"> information </w:t>
            </w:r>
            <w:proofErr w:type="spellStart"/>
            <w:r>
              <w:rPr>
                <w:sz w:val="20"/>
                <w:szCs w:val="20"/>
              </w:rPr>
              <w:t>regarding</w:t>
            </w:r>
            <w:proofErr w:type="spellEnd"/>
            <w:r>
              <w:rPr>
                <w:sz w:val="20"/>
                <w:szCs w:val="20"/>
              </w:rPr>
              <w:t xml:space="preserve"> tax </w:t>
            </w:r>
            <w:proofErr w:type="spellStart"/>
            <w:r>
              <w:rPr>
                <w:sz w:val="20"/>
                <w:szCs w:val="20"/>
              </w:rPr>
              <w:t>rulings</w:t>
            </w:r>
            <w:proofErr w:type="spellEnd"/>
            <w:r>
              <w:rPr>
                <w:sz w:val="20"/>
                <w:szCs w:val="20"/>
              </w:rPr>
              <w:t xml:space="preserve">”. </w:t>
            </w:r>
            <w:proofErr w:type="spellStart"/>
            <w:r>
              <w:rPr>
                <w:sz w:val="20"/>
                <w:szCs w:val="20"/>
              </w:rPr>
              <w:t>This</w:t>
            </w:r>
            <w:proofErr w:type="spellEnd"/>
            <w:r>
              <w:rPr>
                <w:sz w:val="20"/>
                <w:szCs w:val="20"/>
              </w:rPr>
              <w:t xml:space="preserve"> information </w:t>
            </w:r>
            <w:proofErr w:type="spellStart"/>
            <w:r>
              <w:rPr>
                <w:sz w:val="20"/>
                <w:szCs w:val="20"/>
              </w:rPr>
              <w:t>would</w:t>
            </w:r>
            <w:proofErr w:type="spellEnd"/>
            <w:r>
              <w:rPr>
                <w:sz w:val="20"/>
                <w:szCs w:val="20"/>
              </w:rPr>
              <w:t xml:space="preserve"> </w:t>
            </w:r>
            <w:proofErr w:type="spellStart"/>
            <w:r>
              <w:rPr>
                <w:sz w:val="20"/>
                <w:szCs w:val="20"/>
              </w:rPr>
              <w:t>also</w:t>
            </w:r>
            <w:proofErr w:type="spellEnd"/>
            <w:r>
              <w:rPr>
                <w:sz w:val="20"/>
                <w:szCs w:val="20"/>
              </w:rPr>
              <w:t xml:space="preserve"> </w:t>
            </w:r>
            <w:proofErr w:type="spellStart"/>
            <w:r>
              <w:rPr>
                <w:sz w:val="20"/>
                <w:szCs w:val="20"/>
              </w:rPr>
              <w:t>be</w:t>
            </w:r>
            <w:proofErr w:type="spellEnd"/>
            <w:r>
              <w:rPr>
                <w:sz w:val="20"/>
                <w:szCs w:val="20"/>
              </w:rPr>
              <w:t xml:space="preserve"> subject </w:t>
            </w:r>
            <w:proofErr w:type="spellStart"/>
            <w:r>
              <w:rPr>
                <w:sz w:val="20"/>
                <w:szCs w:val="20"/>
              </w:rPr>
              <w:t>to</w:t>
            </w:r>
            <w:proofErr w:type="spellEnd"/>
            <w:r>
              <w:rPr>
                <w:sz w:val="20"/>
                <w:szCs w:val="20"/>
              </w:rPr>
              <w:t xml:space="preserve"> </w:t>
            </w:r>
            <w:proofErr w:type="spellStart"/>
            <w:r>
              <w:rPr>
                <w:sz w:val="20"/>
                <w:szCs w:val="20"/>
              </w:rPr>
              <w:t>statutory</w:t>
            </w:r>
            <w:proofErr w:type="spellEnd"/>
            <w:r>
              <w:rPr>
                <w:sz w:val="20"/>
                <w:szCs w:val="20"/>
              </w:rPr>
              <w:t xml:space="preserve"> audit. The </w:t>
            </w:r>
            <w:proofErr w:type="spellStart"/>
            <w:r>
              <w:rPr>
                <w:sz w:val="20"/>
                <w:szCs w:val="20"/>
              </w:rPr>
              <w:t>text</w:t>
            </w:r>
            <w:proofErr w:type="spellEnd"/>
            <w:r>
              <w:rPr>
                <w:sz w:val="20"/>
                <w:szCs w:val="20"/>
              </w:rPr>
              <w:t xml:space="preserve"> </w:t>
            </w:r>
            <w:proofErr w:type="spellStart"/>
            <w:r>
              <w:rPr>
                <w:sz w:val="20"/>
                <w:szCs w:val="20"/>
              </w:rPr>
              <w:t>still</w:t>
            </w:r>
            <w:proofErr w:type="spellEnd"/>
            <w:r>
              <w:rPr>
                <w:sz w:val="20"/>
                <w:szCs w:val="20"/>
              </w:rPr>
              <w:t xml:space="preserve"> </w:t>
            </w:r>
            <w:proofErr w:type="spellStart"/>
            <w:r>
              <w:rPr>
                <w:sz w:val="20"/>
                <w:szCs w:val="20"/>
              </w:rPr>
              <w:t>needs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adopted</w:t>
            </w:r>
            <w:proofErr w:type="spellEnd"/>
            <w:r>
              <w:rPr>
                <w:sz w:val="20"/>
                <w:szCs w:val="20"/>
              </w:rPr>
              <w:t xml:space="preserve"> </w:t>
            </w:r>
            <w:proofErr w:type="spellStart"/>
            <w:r>
              <w:rPr>
                <w:sz w:val="20"/>
                <w:szCs w:val="20"/>
              </w:rPr>
              <w:t>by</w:t>
            </w:r>
            <w:proofErr w:type="spellEnd"/>
            <w:r>
              <w:rPr>
                <w:sz w:val="20"/>
                <w:szCs w:val="20"/>
              </w:rPr>
              <w:t xml:space="preserve"> the EU Council </w:t>
            </w:r>
            <w:proofErr w:type="spellStart"/>
            <w:r>
              <w:rPr>
                <w:sz w:val="20"/>
                <w:szCs w:val="20"/>
              </w:rPr>
              <w:t>with</w:t>
            </w:r>
            <w:proofErr w:type="spellEnd"/>
            <w:r>
              <w:rPr>
                <w:sz w:val="20"/>
                <w:szCs w:val="20"/>
              </w:rPr>
              <w:t xml:space="preserve"> </w:t>
            </w:r>
            <w:proofErr w:type="spellStart"/>
            <w:r>
              <w:rPr>
                <w:sz w:val="20"/>
                <w:szCs w:val="20"/>
              </w:rPr>
              <w:t>qualified</w:t>
            </w:r>
            <w:proofErr w:type="spellEnd"/>
            <w:r>
              <w:rPr>
                <w:sz w:val="20"/>
                <w:szCs w:val="20"/>
              </w:rPr>
              <w:t xml:space="preserve"> </w:t>
            </w:r>
            <w:proofErr w:type="spellStart"/>
            <w:r>
              <w:rPr>
                <w:sz w:val="20"/>
                <w:szCs w:val="20"/>
              </w:rPr>
              <w:t>majority</w:t>
            </w:r>
            <w:proofErr w:type="spellEnd"/>
            <w:r>
              <w:rPr>
                <w:sz w:val="20"/>
                <w:szCs w:val="20"/>
              </w:rPr>
              <w:t xml:space="preserve">. The European </w:t>
            </w:r>
            <w:proofErr w:type="spellStart"/>
            <w:r>
              <w:rPr>
                <w:sz w:val="20"/>
                <w:szCs w:val="20"/>
              </w:rPr>
              <w:t>Commission</w:t>
            </w:r>
            <w:proofErr w:type="spellEnd"/>
            <w:r>
              <w:rPr>
                <w:sz w:val="20"/>
                <w:szCs w:val="20"/>
              </w:rPr>
              <w:t xml:space="preserve"> is </w:t>
            </w:r>
            <w:proofErr w:type="spellStart"/>
            <w:r>
              <w:rPr>
                <w:sz w:val="20"/>
                <w:szCs w:val="20"/>
              </w:rPr>
              <w:t>currently</w:t>
            </w:r>
            <w:proofErr w:type="spellEnd"/>
            <w:r>
              <w:rPr>
                <w:sz w:val="20"/>
                <w:szCs w:val="20"/>
              </w:rPr>
              <w:t xml:space="preserve"> consulting on corporate country </w:t>
            </w:r>
            <w:proofErr w:type="spellStart"/>
            <w:r>
              <w:rPr>
                <w:sz w:val="20"/>
                <w:szCs w:val="20"/>
              </w:rPr>
              <w:t>by</w:t>
            </w:r>
            <w:proofErr w:type="spellEnd"/>
            <w:r>
              <w:rPr>
                <w:sz w:val="20"/>
                <w:szCs w:val="20"/>
              </w:rPr>
              <w:t xml:space="preserve"> country tax reporting.</w:t>
            </w:r>
          </w:p>
          <w:p w:rsidR="002A3AC5" w:rsidRDefault="002A3AC5">
            <w:pPr>
              <w:pStyle w:val="Lijstalinea"/>
              <w:spacing w:line="276" w:lineRule="auto"/>
              <w:rPr>
                <w:sz w:val="20"/>
                <w:szCs w:val="20"/>
              </w:rPr>
            </w:pPr>
          </w:p>
          <w:p w:rsidR="002A3AC5" w:rsidRDefault="002A3AC5">
            <w:pPr>
              <w:pStyle w:val="Lijstalinea"/>
              <w:spacing w:line="276" w:lineRule="auto"/>
              <w:ind w:left="993" w:hanging="284"/>
              <w:rPr>
                <w:sz w:val="20"/>
                <w:szCs w:val="20"/>
              </w:rPr>
            </w:pPr>
            <w:r>
              <w:rPr>
                <w:sz w:val="20"/>
                <w:szCs w:val="20"/>
              </w:rPr>
              <w:t>-</w:t>
            </w:r>
            <w:r>
              <w:rPr>
                <w:rFonts w:ascii="Times New Roman" w:hAnsi="Times New Roman"/>
                <w:sz w:val="14"/>
                <w:szCs w:val="14"/>
              </w:rPr>
              <w:t xml:space="preserve">        </w:t>
            </w:r>
            <w:proofErr w:type="spellStart"/>
            <w:r>
              <w:rPr>
                <w:sz w:val="20"/>
                <w:szCs w:val="20"/>
              </w:rPr>
              <w:t>Text</w:t>
            </w:r>
            <w:proofErr w:type="spellEnd"/>
            <w:r>
              <w:rPr>
                <w:sz w:val="20"/>
                <w:szCs w:val="20"/>
              </w:rPr>
              <w:t xml:space="preserve"> </w:t>
            </w:r>
            <w:proofErr w:type="spellStart"/>
            <w:r>
              <w:rPr>
                <w:sz w:val="20"/>
                <w:szCs w:val="20"/>
              </w:rPr>
              <w:t>adopted</w:t>
            </w:r>
            <w:proofErr w:type="spellEnd"/>
            <w:r>
              <w:rPr>
                <w:sz w:val="20"/>
                <w:szCs w:val="20"/>
              </w:rPr>
              <w:t xml:space="preserve">: </w:t>
            </w:r>
            <w:hyperlink r:id="rId11" w:history="1">
              <w:r>
                <w:rPr>
                  <w:rStyle w:val="Hyperlink"/>
                  <w:sz w:val="20"/>
                  <w:szCs w:val="20"/>
                </w:rPr>
                <w:t>EN</w:t>
              </w:r>
            </w:hyperlink>
            <w:r>
              <w:rPr>
                <w:sz w:val="20"/>
                <w:szCs w:val="20"/>
              </w:rPr>
              <w:t xml:space="preserve"> (</w:t>
            </w:r>
            <w:proofErr w:type="spellStart"/>
            <w:r>
              <w:rPr>
                <w:sz w:val="20"/>
                <w:szCs w:val="20"/>
              </w:rPr>
              <w:t>all</w:t>
            </w:r>
            <w:proofErr w:type="spellEnd"/>
            <w:r>
              <w:rPr>
                <w:sz w:val="20"/>
                <w:szCs w:val="20"/>
              </w:rPr>
              <w:t xml:space="preserve"> EU </w:t>
            </w:r>
            <w:proofErr w:type="spellStart"/>
            <w:r>
              <w:rPr>
                <w:sz w:val="20"/>
                <w:szCs w:val="20"/>
              </w:rPr>
              <w:t>languages</w:t>
            </w:r>
            <w:proofErr w:type="spellEnd"/>
            <w:r>
              <w:rPr>
                <w:sz w:val="20"/>
                <w:szCs w:val="20"/>
              </w:rPr>
              <w:t>)</w:t>
            </w:r>
          </w:p>
          <w:p w:rsidR="002A3AC5" w:rsidRDefault="002A3AC5">
            <w:pPr>
              <w:spacing w:line="276" w:lineRule="auto"/>
              <w:rPr>
                <w:sz w:val="20"/>
                <w:szCs w:val="20"/>
              </w:rPr>
            </w:pPr>
          </w:p>
          <w:p w:rsidR="002A3AC5" w:rsidRDefault="002A3AC5">
            <w:pPr>
              <w:pStyle w:val="Lijstalinea"/>
              <w:spacing w:line="276" w:lineRule="auto"/>
              <w:ind w:hanging="360"/>
              <w:rPr>
                <w:b/>
                <w:bCs/>
                <w:sz w:val="20"/>
                <w:szCs w:val="20"/>
              </w:rPr>
            </w:pPr>
            <w:r>
              <w:rPr>
                <w:b/>
                <w:bCs/>
                <w:sz w:val="20"/>
                <w:szCs w:val="20"/>
              </w:rPr>
              <w:t>5.</w:t>
            </w:r>
            <w:r>
              <w:rPr>
                <w:rFonts w:ascii="Times New Roman" w:hAnsi="Times New Roman"/>
                <w:b/>
                <w:bCs/>
                <w:sz w:val="14"/>
                <w:szCs w:val="14"/>
              </w:rPr>
              <w:t xml:space="preserve">       </w:t>
            </w:r>
            <w:r>
              <w:rPr>
                <w:b/>
                <w:bCs/>
                <w:sz w:val="20"/>
                <w:szCs w:val="20"/>
              </w:rPr>
              <w:t xml:space="preserve">Platform </w:t>
            </w:r>
            <w:proofErr w:type="spellStart"/>
            <w:r>
              <w:rPr>
                <w:b/>
                <w:bCs/>
                <w:sz w:val="20"/>
                <w:szCs w:val="20"/>
              </w:rPr>
              <w:t>for</w:t>
            </w:r>
            <w:proofErr w:type="spellEnd"/>
            <w:r>
              <w:rPr>
                <w:b/>
                <w:bCs/>
                <w:sz w:val="20"/>
                <w:szCs w:val="20"/>
              </w:rPr>
              <w:t xml:space="preserve"> Tax </w:t>
            </w:r>
            <w:proofErr w:type="spellStart"/>
            <w:r>
              <w:rPr>
                <w:b/>
                <w:bCs/>
                <w:sz w:val="20"/>
                <w:szCs w:val="20"/>
              </w:rPr>
              <w:t>Good</w:t>
            </w:r>
            <w:proofErr w:type="spellEnd"/>
            <w:r>
              <w:rPr>
                <w:b/>
                <w:bCs/>
                <w:sz w:val="20"/>
                <w:szCs w:val="20"/>
              </w:rPr>
              <w:t xml:space="preserve"> </w:t>
            </w:r>
            <w:proofErr w:type="spellStart"/>
            <w:r>
              <w:rPr>
                <w:b/>
                <w:bCs/>
                <w:sz w:val="20"/>
                <w:szCs w:val="20"/>
              </w:rPr>
              <w:t>Governance</w:t>
            </w:r>
            <w:proofErr w:type="spellEnd"/>
            <w:r>
              <w:rPr>
                <w:b/>
                <w:bCs/>
                <w:sz w:val="20"/>
                <w:szCs w:val="20"/>
              </w:rPr>
              <w:t xml:space="preserve">: </w:t>
            </w:r>
            <w:proofErr w:type="spellStart"/>
            <w:r>
              <w:rPr>
                <w:b/>
                <w:bCs/>
                <w:sz w:val="20"/>
                <w:szCs w:val="20"/>
              </w:rPr>
              <w:t>Commission</w:t>
            </w:r>
            <w:proofErr w:type="spellEnd"/>
            <w:r>
              <w:rPr>
                <w:b/>
                <w:bCs/>
                <w:sz w:val="20"/>
                <w:szCs w:val="20"/>
              </w:rPr>
              <w:t xml:space="preserve"> </w:t>
            </w:r>
            <w:proofErr w:type="spellStart"/>
            <w:r>
              <w:rPr>
                <w:b/>
                <w:bCs/>
                <w:sz w:val="20"/>
                <w:szCs w:val="20"/>
              </w:rPr>
              <w:t>extends</w:t>
            </w:r>
            <w:proofErr w:type="spellEnd"/>
            <w:r>
              <w:rPr>
                <w:b/>
                <w:bCs/>
                <w:sz w:val="20"/>
                <w:szCs w:val="20"/>
              </w:rPr>
              <w:t xml:space="preserve"> </w:t>
            </w:r>
            <w:proofErr w:type="spellStart"/>
            <w:r>
              <w:rPr>
                <w:b/>
                <w:bCs/>
                <w:sz w:val="20"/>
                <w:szCs w:val="20"/>
              </w:rPr>
              <w:t>mandate</w:t>
            </w:r>
            <w:proofErr w:type="spellEnd"/>
            <w:r>
              <w:rPr>
                <w:b/>
                <w:bCs/>
                <w:sz w:val="20"/>
                <w:szCs w:val="20"/>
              </w:rPr>
              <w:t xml:space="preserve"> </w:t>
            </w:r>
            <w:proofErr w:type="spellStart"/>
            <w:r>
              <w:rPr>
                <w:b/>
                <w:bCs/>
                <w:sz w:val="20"/>
                <w:szCs w:val="20"/>
              </w:rPr>
              <w:t>and</w:t>
            </w:r>
            <w:proofErr w:type="spellEnd"/>
            <w:r>
              <w:rPr>
                <w:b/>
                <w:bCs/>
                <w:sz w:val="20"/>
                <w:szCs w:val="20"/>
              </w:rPr>
              <w:t xml:space="preserve"> starts </w:t>
            </w:r>
            <w:proofErr w:type="spellStart"/>
            <w:r>
              <w:rPr>
                <w:b/>
                <w:bCs/>
                <w:sz w:val="20"/>
                <w:szCs w:val="20"/>
              </w:rPr>
              <w:t>work</w:t>
            </w:r>
            <w:proofErr w:type="spellEnd"/>
            <w:r>
              <w:rPr>
                <w:b/>
                <w:bCs/>
                <w:sz w:val="20"/>
                <w:szCs w:val="20"/>
              </w:rPr>
              <w:t xml:space="preserve"> on updating tax havens list</w:t>
            </w:r>
          </w:p>
          <w:p w:rsidR="002A3AC5" w:rsidRDefault="002A3AC5">
            <w:pPr>
              <w:pStyle w:val="Lijstalinea"/>
              <w:spacing w:line="276" w:lineRule="auto"/>
              <w:rPr>
                <w:sz w:val="20"/>
                <w:szCs w:val="20"/>
              </w:rPr>
            </w:pPr>
          </w:p>
          <w:p w:rsidR="002A3AC5" w:rsidRDefault="002A3AC5">
            <w:pPr>
              <w:pStyle w:val="Lijstalinea"/>
              <w:spacing w:line="276" w:lineRule="auto"/>
              <w:rPr>
                <w:sz w:val="20"/>
                <w:szCs w:val="20"/>
              </w:rPr>
            </w:pPr>
            <w:r>
              <w:rPr>
                <w:sz w:val="20"/>
                <w:szCs w:val="20"/>
              </w:rPr>
              <w:t xml:space="preserve">The European </w:t>
            </w:r>
            <w:proofErr w:type="spellStart"/>
            <w:r>
              <w:rPr>
                <w:sz w:val="20"/>
                <w:szCs w:val="20"/>
              </w:rPr>
              <w:t>Commission</w:t>
            </w:r>
            <w:proofErr w:type="spellEnd"/>
            <w:r>
              <w:rPr>
                <w:sz w:val="20"/>
                <w:szCs w:val="20"/>
              </w:rPr>
              <w:t xml:space="preserve"> has </w:t>
            </w:r>
            <w:proofErr w:type="spellStart"/>
            <w:r>
              <w:rPr>
                <w:sz w:val="20"/>
                <w:szCs w:val="20"/>
              </w:rPr>
              <w:t>published</w:t>
            </w:r>
            <w:proofErr w:type="spellEnd"/>
            <w:r>
              <w:rPr>
                <w:sz w:val="20"/>
                <w:szCs w:val="20"/>
              </w:rPr>
              <w:t xml:space="preserve"> a </w:t>
            </w:r>
            <w:proofErr w:type="spellStart"/>
            <w:r>
              <w:rPr>
                <w:sz w:val="20"/>
                <w:szCs w:val="20"/>
              </w:rPr>
              <w:t>decision</w:t>
            </w:r>
            <w:proofErr w:type="spellEnd"/>
            <w:r>
              <w:rPr>
                <w:sz w:val="20"/>
                <w:szCs w:val="20"/>
              </w:rPr>
              <w:t xml:space="preserve"> of 17 </w:t>
            </w:r>
            <w:proofErr w:type="spellStart"/>
            <w:r>
              <w:rPr>
                <w:sz w:val="20"/>
                <w:szCs w:val="20"/>
              </w:rPr>
              <w:t>June</w:t>
            </w:r>
            <w:proofErr w:type="spellEnd"/>
            <w:r>
              <w:rPr>
                <w:sz w:val="20"/>
                <w:szCs w:val="20"/>
              </w:rPr>
              <w:t xml:space="preserve"> 2015, </w:t>
            </w:r>
            <w:proofErr w:type="spellStart"/>
            <w:r>
              <w:rPr>
                <w:sz w:val="20"/>
                <w:szCs w:val="20"/>
              </w:rPr>
              <w:t>extending</w:t>
            </w:r>
            <w:proofErr w:type="spellEnd"/>
            <w:r>
              <w:rPr>
                <w:sz w:val="20"/>
                <w:szCs w:val="20"/>
              </w:rPr>
              <w:t xml:space="preserve"> the </w:t>
            </w:r>
            <w:proofErr w:type="spellStart"/>
            <w:r>
              <w:rPr>
                <w:sz w:val="20"/>
                <w:szCs w:val="20"/>
              </w:rPr>
              <w:t>mandate</w:t>
            </w:r>
            <w:proofErr w:type="spellEnd"/>
            <w:r>
              <w:rPr>
                <w:sz w:val="20"/>
                <w:szCs w:val="20"/>
              </w:rPr>
              <w:t xml:space="preserve"> of </w:t>
            </w:r>
            <w:proofErr w:type="spellStart"/>
            <w:r>
              <w:rPr>
                <w:sz w:val="20"/>
                <w:szCs w:val="20"/>
              </w:rPr>
              <w:t>its</w:t>
            </w:r>
            <w:proofErr w:type="spellEnd"/>
            <w:r>
              <w:rPr>
                <w:sz w:val="20"/>
                <w:szCs w:val="20"/>
              </w:rPr>
              <w:t xml:space="preserve"> </w:t>
            </w:r>
            <w:proofErr w:type="spellStart"/>
            <w:r>
              <w:rPr>
                <w:sz w:val="20"/>
                <w:szCs w:val="20"/>
              </w:rPr>
              <w:t>advisory</w:t>
            </w:r>
            <w:proofErr w:type="spellEnd"/>
            <w:r>
              <w:rPr>
                <w:sz w:val="20"/>
                <w:szCs w:val="20"/>
              </w:rPr>
              <w:t xml:space="preserve"> </w:t>
            </w:r>
            <w:r>
              <w:rPr>
                <w:i/>
                <w:iCs/>
                <w:sz w:val="20"/>
                <w:szCs w:val="20"/>
              </w:rPr>
              <w:t xml:space="preserve">Platform </w:t>
            </w:r>
            <w:proofErr w:type="spellStart"/>
            <w:r>
              <w:rPr>
                <w:i/>
                <w:iCs/>
                <w:sz w:val="20"/>
                <w:szCs w:val="20"/>
              </w:rPr>
              <w:t>for</w:t>
            </w:r>
            <w:proofErr w:type="spellEnd"/>
            <w:r>
              <w:rPr>
                <w:i/>
                <w:iCs/>
                <w:sz w:val="20"/>
                <w:szCs w:val="20"/>
              </w:rPr>
              <w:t xml:space="preserve"> Tax </w:t>
            </w:r>
            <w:proofErr w:type="spellStart"/>
            <w:r>
              <w:rPr>
                <w:i/>
                <w:iCs/>
                <w:sz w:val="20"/>
                <w:szCs w:val="20"/>
              </w:rPr>
              <w:t>Good</w:t>
            </w:r>
            <w:proofErr w:type="spellEnd"/>
            <w:r>
              <w:rPr>
                <w:i/>
                <w:iCs/>
                <w:sz w:val="20"/>
                <w:szCs w:val="20"/>
              </w:rPr>
              <w:t xml:space="preserve"> </w:t>
            </w:r>
            <w:proofErr w:type="spellStart"/>
            <w:r>
              <w:rPr>
                <w:i/>
                <w:iCs/>
                <w:sz w:val="20"/>
                <w:szCs w:val="20"/>
              </w:rPr>
              <w:t>Governance</w:t>
            </w:r>
            <w:proofErr w:type="spellEnd"/>
            <w:r>
              <w:rPr>
                <w:i/>
                <w:iCs/>
                <w:sz w:val="20"/>
                <w:szCs w:val="20"/>
              </w:rPr>
              <w:t xml:space="preserve">, </w:t>
            </w:r>
            <w:proofErr w:type="spellStart"/>
            <w:r>
              <w:rPr>
                <w:i/>
                <w:iCs/>
                <w:sz w:val="20"/>
                <w:szCs w:val="20"/>
              </w:rPr>
              <w:t>Aggressive</w:t>
            </w:r>
            <w:proofErr w:type="spellEnd"/>
            <w:r>
              <w:rPr>
                <w:i/>
                <w:iCs/>
                <w:sz w:val="20"/>
                <w:szCs w:val="20"/>
              </w:rPr>
              <w:t xml:space="preserve"> Tax Planning </w:t>
            </w:r>
            <w:proofErr w:type="spellStart"/>
            <w:r>
              <w:rPr>
                <w:i/>
                <w:iCs/>
                <w:sz w:val="20"/>
                <w:szCs w:val="20"/>
              </w:rPr>
              <w:t>and</w:t>
            </w:r>
            <w:proofErr w:type="spellEnd"/>
            <w:r>
              <w:rPr>
                <w:i/>
                <w:iCs/>
                <w:sz w:val="20"/>
                <w:szCs w:val="20"/>
              </w:rPr>
              <w:t xml:space="preserve"> Double </w:t>
            </w:r>
            <w:proofErr w:type="spellStart"/>
            <w:r>
              <w:rPr>
                <w:i/>
                <w:iCs/>
                <w:sz w:val="20"/>
                <w:szCs w:val="20"/>
              </w:rPr>
              <w:t>Taxation</w:t>
            </w:r>
            <w:proofErr w:type="spellEnd"/>
            <w:r>
              <w:rPr>
                <w:b/>
                <w:bCs/>
                <w:sz w:val="20"/>
                <w:szCs w:val="20"/>
              </w:rPr>
              <w:t xml:space="preserve"> </w:t>
            </w:r>
            <w:proofErr w:type="spellStart"/>
            <w:r>
              <w:rPr>
                <w:sz w:val="20"/>
                <w:szCs w:val="20"/>
              </w:rPr>
              <w:t>until</w:t>
            </w:r>
            <w:proofErr w:type="spellEnd"/>
            <w:r>
              <w:rPr>
                <w:sz w:val="20"/>
                <w:szCs w:val="20"/>
              </w:rPr>
              <w:t xml:space="preserve"> </w:t>
            </w:r>
            <w:proofErr w:type="spellStart"/>
            <w:r>
              <w:rPr>
                <w:sz w:val="20"/>
                <w:szCs w:val="20"/>
              </w:rPr>
              <w:t>June</w:t>
            </w:r>
            <w:proofErr w:type="spellEnd"/>
            <w:r>
              <w:rPr>
                <w:sz w:val="20"/>
                <w:szCs w:val="20"/>
              </w:rPr>
              <w:t xml:space="preserve"> 2019. The </w:t>
            </w:r>
            <w:r>
              <w:rPr>
                <w:i/>
                <w:iCs/>
                <w:sz w:val="20"/>
                <w:szCs w:val="20"/>
              </w:rPr>
              <w:t>Platform</w:t>
            </w:r>
            <w:r>
              <w:rPr>
                <w:sz w:val="20"/>
                <w:szCs w:val="20"/>
              </w:rPr>
              <w:t xml:space="preserve"> in </w:t>
            </w:r>
            <w:proofErr w:type="spellStart"/>
            <w:r>
              <w:rPr>
                <w:sz w:val="20"/>
                <w:szCs w:val="20"/>
              </w:rPr>
              <w:t>which</w:t>
            </w:r>
            <w:proofErr w:type="spellEnd"/>
            <w:r>
              <w:rPr>
                <w:sz w:val="20"/>
                <w:szCs w:val="20"/>
              </w:rPr>
              <w:t xml:space="preserve"> CFE is </w:t>
            </w:r>
            <w:proofErr w:type="spellStart"/>
            <w:r>
              <w:rPr>
                <w:sz w:val="20"/>
                <w:szCs w:val="20"/>
              </w:rPr>
              <w:t>also</w:t>
            </w:r>
            <w:proofErr w:type="spellEnd"/>
            <w:r>
              <w:rPr>
                <w:sz w:val="20"/>
                <w:szCs w:val="20"/>
              </w:rPr>
              <w:t xml:space="preserve"> present was </w:t>
            </w:r>
            <w:proofErr w:type="spellStart"/>
            <w:r>
              <w:rPr>
                <w:sz w:val="20"/>
                <w:szCs w:val="20"/>
              </w:rPr>
              <w:t>initially</w:t>
            </w:r>
            <w:proofErr w:type="spellEnd"/>
            <w:r>
              <w:rPr>
                <w:sz w:val="20"/>
                <w:szCs w:val="20"/>
              </w:rPr>
              <w:t xml:space="preserve"> set up in </w:t>
            </w:r>
            <w:proofErr w:type="spellStart"/>
            <w:r>
              <w:rPr>
                <w:sz w:val="20"/>
                <w:szCs w:val="20"/>
              </w:rPr>
              <w:t>June</w:t>
            </w:r>
            <w:proofErr w:type="spellEnd"/>
            <w:r>
              <w:rPr>
                <w:sz w:val="20"/>
                <w:szCs w:val="20"/>
              </w:rPr>
              <w:t xml:space="preserve"> 2013. It </w:t>
            </w:r>
            <w:proofErr w:type="spellStart"/>
            <w:r>
              <w:rPr>
                <w:sz w:val="20"/>
                <w:szCs w:val="20"/>
              </w:rPr>
              <w:t>includes</w:t>
            </w:r>
            <w:proofErr w:type="spellEnd"/>
            <w:r>
              <w:rPr>
                <w:sz w:val="20"/>
                <w:szCs w:val="20"/>
              </w:rPr>
              <w:t xml:space="preserve"> member </w:t>
            </w:r>
            <w:proofErr w:type="spellStart"/>
            <w:r>
              <w:rPr>
                <w:sz w:val="20"/>
                <w:szCs w:val="20"/>
              </w:rPr>
              <w:t>states</w:t>
            </w:r>
            <w:proofErr w:type="spellEnd"/>
            <w:r>
              <w:rPr>
                <w:sz w:val="20"/>
                <w:szCs w:val="20"/>
              </w:rPr>
              <w:t xml:space="preserve">, business </w:t>
            </w:r>
            <w:proofErr w:type="spellStart"/>
            <w:r>
              <w:rPr>
                <w:sz w:val="20"/>
                <w:szCs w:val="20"/>
              </w:rPr>
              <w:t>organisations</w:t>
            </w:r>
            <w:proofErr w:type="spellEnd"/>
            <w:r>
              <w:rPr>
                <w:sz w:val="20"/>
                <w:szCs w:val="20"/>
              </w:rPr>
              <w:t xml:space="preserve">, tax professionals, </w:t>
            </w:r>
            <w:proofErr w:type="spellStart"/>
            <w:r>
              <w:rPr>
                <w:sz w:val="20"/>
                <w:szCs w:val="20"/>
              </w:rPr>
              <w:t>academia</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NGOs</w:t>
            </w:r>
            <w:proofErr w:type="spellEnd"/>
            <w:r>
              <w:rPr>
                <w:sz w:val="20"/>
                <w:szCs w:val="20"/>
              </w:rPr>
              <w:t xml:space="preserve">. The </w:t>
            </w:r>
            <w:proofErr w:type="spellStart"/>
            <w:r>
              <w:rPr>
                <w:sz w:val="20"/>
                <w:szCs w:val="20"/>
              </w:rPr>
              <w:t>composition</w:t>
            </w:r>
            <w:proofErr w:type="spellEnd"/>
            <w:r>
              <w:rPr>
                <w:sz w:val="20"/>
                <w:szCs w:val="20"/>
              </w:rPr>
              <w:t xml:space="preserve"> of the </w:t>
            </w:r>
            <w:proofErr w:type="spellStart"/>
            <w:r>
              <w:rPr>
                <w:sz w:val="20"/>
                <w:szCs w:val="20"/>
              </w:rPr>
              <w:t>group</w:t>
            </w:r>
            <w:proofErr w:type="spellEnd"/>
            <w:r>
              <w:rPr>
                <w:sz w:val="20"/>
                <w:szCs w:val="20"/>
              </w:rPr>
              <w:t xml:space="preserve"> </w:t>
            </w:r>
            <w:proofErr w:type="spellStart"/>
            <w:r>
              <w:rPr>
                <w:sz w:val="20"/>
                <w:szCs w:val="20"/>
              </w:rPr>
              <w:t>will</w:t>
            </w:r>
            <w:proofErr w:type="spellEnd"/>
            <w:r>
              <w:rPr>
                <w:sz w:val="20"/>
                <w:szCs w:val="20"/>
              </w:rPr>
              <w:t xml:space="preserve"> </w:t>
            </w:r>
            <w:proofErr w:type="spellStart"/>
            <w:r>
              <w:rPr>
                <w:sz w:val="20"/>
                <w:szCs w:val="20"/>
              </w:rPr>
              <w:t>remain</w:t>
            </w:r>
            <w:proofErr w:type="spellEnd"/>
            <w:r>
              <w:rPr>
                <w:sz w:val="20"/>
                <w:szCs w:val="20"/>
              </w:rPr>
              <w:t xml:space="preserve"> </w:t>
            </w:r>
            <w:proofErr w:type="spellStart"/>
            <w:r>
              <w:rPr>
                <w:sz w:val="20"/>
                <w:szCs w:val="20"/>
              </w:rPr>
              <w:t>unchanged</w:t>
            </w:r>
            <w:proofErr w:type="spellEnd"/>
            <w:r>
              <w:rPr>
                <w:sz w:val="20"/>
                <w:szCs w:val="20"/>
              </w:rPr>
              <w:t xml:space="preserve"> </w:t>
            </w:r>
            <w:proofErr w:type="spellStart"/>
            <w:r>
              <w:rPr>
                <w:sz w:val="20"/>
                <w:szCs w:val="20"/>
              </w:rPr>
              <w:t>until</w:t>
            </w:r>
            <w:proofErr w:type="spellEnd"/>
            <w:r>
              <w:rPr>
                <w:sz w:val="20"/>
                <w:szCs w:val="20"/>
              </w:rPr>
              <w:t xml:space="preserve"> April 2016 </w:t>
            </w:r>
            <w:proofErr w:type="spellStart"/>
            <w:r>
              <w:rPr>
                <w:sz w:val="20"/>
                <w:szCs w:val="20"/>
              </w:rPr>
              <w:t>when</w:t>
            </w:r>
            <w:proofErr w:type="spellEnd"/>
            <w:r>
              <w:rPr>
                <w:sz w:val="20"/>
                <w:szCs w:val="20"/>
              </w:rPr>
              <w:t xml:space="preserve"> a new call </w:t>
            </w:r>
            <w:proofErr w:type="spellStart"/>
            <w:r>
              <w:rPr>
                <w:sz w:val="20"/>
                <w:szCs w:val="20"/>
              </w:rPr>
              <w:t>for</w:t>
            </w:r>
            <w:proofErr w:type="spellEnd"/>
            <w:r>
              <w:rPr>
                <w:sz w:val="20"/>
                <w:szCs w:val="20"/>
              </w:rPr>
              <w:t xml:space="preserve"> </w:t>
            </w:r>
            <w:proofErr w:type="spellStart"/>
            <w:r>
              <w:rPr>
                <w:sz w:val="20"/>
                <w:szCs w:val="20"/>
              </w:rPr>
              <w:t>applications</w:t>
            </w:r>
            <w:proofErr w:type="spellEnd"/>
            <w:r>
              <w:rPr>
                <w:sz w:val="20"/>
                <w:szCs w:val="20"/>
              </w:rPr>
              <w:t xml:space="preserve"> </w:t>
            </w:r>
            <w:proofErr w:type="spellStart"/>
            <w:r>
              <w:rPr>
                <w:sz w:val="20"/>
                <w:szCs w:val="20"/>
              </w:rPr>
              <w:t>will</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launched</w:t>
            </w:r>
            <w:proofErr w:type="spellEnd"/>
            <w:r>
              <w:rPr>
                <w:sz w:val="20"/>
                <w:szCs w:val="20"/>
              </w:rPr>
              <w:t xml:space="preserve">. The scope of the </w:t>
            </w:r>
            <w:proofErr w:type="spellStart"/>
            <w:r>
              <w:rPr>
                <w:sz w:val="20"/>
                <w:szCs w:val="20"/>
              </w:rPr>
              <w:t>group</w:t>
            </w:r>
            <w:proofErr w:type="spellEnd"/>
            <w:r>
              <w:rPr>
                <w:sz w:val="20"/>
                <w:szCs w:val="20"/>
              </w:rPr>
              <w:t xml:space="preserve"> has been </w:t>
            </w:r>
            <w:proofErr w:type="spellStart"/>
            <w:r>
              <w:rPr>
                <w:sz w:val="20"/>
                <w:szCs w:val="20"/>
              </w:rPr>
              <w:t>widened</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include</w:t>
            </w:r>
            <w:proofErr w:type="spellEnd"/>
            <w:r>
              <w:rPr>
                <w:sz w:val="20"/>
                <w:szCs w:val="20"/>
              </w:rPr>
              <w:t xml:space="preserve"> the </w:t>
            </w:r>
            <w:proofErr w:type="spellStart"/>
            <w:r>
              <w:rPr>
                <w:sz w:val="20"/>
                <w:szCs w:val="20"/>
              </w:rPr>
              <w:t>upcoming</w:t>
            </w:r>
            <w:proofErr w:type="spellEnd"/>
            <w:r>
              <w:rPr>
                <w:sz w:val="20"/>
                <w:szCs w:val="20"/>
              </w:rPr>
              <w:t xml:space="preserve"> CCCTB </w:t>
            </w:r>
            <w:proofErr w:type="spellStart"/>
            <w:r>
              <w:rPr>
                <w:sz w:val="20"/>
                <w:szCs w:val="20"/>
              </w:rPr>
              <w:t>proposal</w:t>
            </w:r>
            <w:proofErr w:type="spellEnd"/>
            <w:r>
              <w:rPr>
                <w:sz w:val="20"/>
                <w:szCs w:val="20"/>
              </w:rPr>
              <w:t xml:space="preserve">, </w:t>
            </w:r>
            <w:proofErr w:type="spellStart"/>
            <w:r>
              <w:rPr>
                <w:sz w:val="20"/>
                <w:szCs w:val="20"/>
              </w:rPr>
              <w:t>measures</w:t>
            </w:r>
            <w:proofErr w:type="spellEnd"/>
            <w:r>
              <w:rPr>
                <w:sz w:val="20"/>
                <w:szCs w:val="20"/>
              </w:rPr>
              <w:t xml:space="preserve"> </w:t>
            </w:r>
            <w:proofErr w:type="spellStart"/>
            <w:r>
              <w:rPr>
                <w:sz w:val="20"/>
                <w:szCs w:val="20"/>
              </w:rPr>
              <w:t>against</w:t>
            </w:r>
            <w:proofErr w:type="spellEnd"/>
            <w:r>
              <w:rPr>
                <w:sz w:val="20"/>
                <w:szCs w:val="20"/>
              </w:rPr>
              <w:t xml:space="preserve"> non-</w:t>
            </w:r>
            <w:proofErr w:type="spellStart"/>
            <w:r>
              <w:rPr>
                <w:sz w:val="20"/>
                <w:szCs w:val="20"/>
              </w:rPr>
              <w:t>cooperative</w:t>
            </w:r>
            <w:proofErr w:type="spellEnd"/>
            <w:r>
              <w:rPr>
                <w:sz w:val="20"/>
                <w:szCs w:val="20"/>
              </w:rPr>
              <w:t xml:space="preserve"> </w:t>
            </w:r>
            <w:proofErr w:type="spellStart"/>
            <w:r>
              <w:rPr>
                <w:sz w:val="20"/>
                <w:szCs w:val="20"/>
              </w:rPr>
              <w:t>jurisdictions</w:t>
            </w:r>
            <w:proofErr w:type="spellEnd"/>
            <w:r>
              <w:rPr>
                <w:sz w:val="20"/>
                <w:szCs w:val="20"/>
              </w:rPr>
              <w:t xml:space="preserve">, information exchange </w:t>
            </w:r>
            <w:proofErr w:type="spellStart"/>
            <w:r>
              <w:rPr>
                <w:sz w:val="20"/>
                <w:szCs w:val="20"/>
              </w:rPr>
              <w:t>and</w:t>
            </w:r>
            <w:proofErr w:type="spellEnd"/>
            <w:r>
              <w:rPr>
                <w:sz w:val="20"/>
                <w:szCs w:val="20"/>
              </w:rPr>
              <w:t xml:space="preserve"> </w:t>
            </w:r>
            <w:proofErr w:type="spellStart"/>
            <w:r>
              <w:rPr>
                <w:sz w:val="20"/>
                <w:szCs w:val="20"/>
              </w:rPr>
              <w:t>publication</w:t>
            </w:r>
            <w:proofErr w:type="spellEnd"/>
            <w:r>
              <w:rPr>
                <w:sz w:val="20"/>
                <w:szCs w:val="20"/>
              </w:rPr>
              <w:t xml:space="preserve"> of tax </w:t>
            </w:r>
            <w:proofErr w:type="spellStart"/>
            <w:r>
              <w:rPr>
                <w:sz w:val="20"/>
                <w:szCs w:val="20"/>
              </w:rPr>
              <w:t>rulings</w:t>
            </w:r>
            <w:proofErr w:type="spellEnd"/>
            <w:r>
              <w:rPr>
                <w:sz w:val="20"/>
                <w:szCs w:val="20"/>
              </w:rPr>
              <w:t xml:space="preserve">, country </w:t>
            </w:r>
            <w:proofErr w:type="spellStart"/>
            <w:r>
              <w:rPr>
                <w:sz w:val="20"/>
                <w:szCs w:val="20"/>
              </w:rPr>
              <w:t>by</w:t>
            </w:r>
            <w:proofErr w:type="spellEnd"/>
            <w:r>
              <w:rPr>
                <w:sz w:val="20"/>
                <w:szCs w:val="20"/>
              </w:rPr>
              <w:t xml:space="preserve"> country </w:t>
            </w:r>
            <w:proofErr w:type="spellStart"/>
            <w:r>
              <w:rPr>
                <w:sz w:val="20"/>
                <w:szCs w:val="20"/>
              </w:rPr>
              <w:t>publication</w:t>
            </w:r>
            <w:proofErr w:type="spellEnd"/>
            <w:r>
              <w:rPr>
                <w:sz w:val="20"/>
                <w:szCs w:val="20"/>
              </w:rPr>
              <w:t xml:space="preserve"> of tax information, </w:t>
            </w:r>
            <w:proofErr w:type="spellStart"/>
            <w:r>
              <w:rPr>
                <w:sz w:val="20"/>
                <w:szCs w:val="20"/>
              </w:rPr>
              <w:t>arbitration</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solve</w:t>
            </w:r>
            <w:proofErr w:type="spellEnd"/>
            <w:r>
              <w:rPr>
                <w:sz w:val="20"/>
                <w:szCs w:val="20"/>
              </w:rPr>
              <w:t xml:space="preserve"> double </w:t>
            </w:r>
            <w:proofErr w:type="spellStart"/>
            <w:r>
              <w:rPr>
                <w:sz w:val="20"/>
                <w:szCs w:val="20"/>
              </w:rPr>
              <w:t>taxation</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better</w:t>
            </w:r>
            <w:proofErr w:type="spellEnd"/>
            <w:r>
              <w:rPr>
                <w:sz w:val="20"/>
                <w:szCs w:val="20"/>
              </w:rPr>
              <w:t xml:space="preserve"> </w:t>
            </w:r>
            <w:proofErr w:type="spellStart"/>
            <w:r>
              <w:rPr>
                <w:sz w:val="20"/>
                <w:szCs w:val="20"/>
              </w:rPr>
              <w:t>coordination</w:t>
            </w:r>
            <w:proofErr w:type="spellEnd"/>
            <w:r>
              <w:rPr>
                <w:sz w:val="20"/>
                <w:szCs w:val="20"/>
              </w:rPr>
              <w:t xml:space="preserve"> of tax audits.</w:t>
            </w:r>
          </w:p>
          <w:p w:rsidR="002A3AC5" w:rsidRDefault="002A3AC5">
            <w:pPr>
              <w:pStyle w:val="Lijstalinea"/>
              <w:spacing w:line="276" w:lineRule="auto"/>
              <w:rPr>
                <w:sz w:val="20"/>
                <w:szCs w:val="20"/>
              </w:rPr>
            </w:pPr>
            <w:r>
              <w:rPr>
                <w:sz w:val="20"/>
                <w:szCs w:val="20"/>
              </w:rPr>
              <w:t xml:space="preserve">The </w:t>
            </w:r>
            <w:proofErr w:type="spellStart"/>
            <w:r>
              <w:rPr>
                <w:sz w:val="20"/>
                <w:szCs w:val="20"/>
              </w:rPr>
              <w:t>Commission</w:t>
            </w:r>
            <w:proofErr w:type="spellEnd"/>
            <w:r>
              <w:rPr>
                <w:sz w:val="20"/>
                <w:szCs w:val="20"/>
              </w:rPr>
              <w:t xml:space="preserve"> has </w:t>
            </w:r>
            <w:proofErr w:type="spellStart"/>
            <w:r>
              <w:rPr>
                <w:sz w:val="20"/>
                <w:szCs w:val="20"/>
              </w:rPr>
              <w:t>started</w:t>
            </w:r>
            <w:proofErr w:type="spellEnd"/>
            <w:r>
              <w:rPr>
                <w:sz w:val="20"/>
                <w:szCs w:val="20"/>
              </w:rPr>
              <w:t xml:space="preserve"> </w:t>
            </w:r>
            <w:proofErr w:type="spellStart"/>
            <w:r>
              <w:rPr>
                <w:sz w:val="20"/>
                <w:szCs w:val="20"/>
              </w:rPr>
              <w:t>work</w:t>
            </w:r>
            <w:proofErr w:type="spellEnd"/>
            <w:r>
              <w:rPr>
                <w:sz w:val="20"/>
                <w:szCs w:val="20"/>
              </w:rPr>
              <w:t xml:space="preserve"> </w:t>
            </w:r>
            <w:proofErr w:type="spellStart"/>
            <w:r>
              <w:rPr>
                <w:sz w:val="20"/>
                <w:szCs w:val="20"/>
              </w:rPr>
              <w:t>to</w:t>
            </w:r>
            <w:proofErr w:type="spellEnd"/>
            <w:r>
              <w:rPr>
                <w:sz w:val="20"/>
                <w:szCs w:val="20"/>
              </w:rPr>
              <w:t xml:space="preserve"> update </w:t>
            </w:r>
            <w:proofErr w:type="spellStart"/>
            <w:r>
              <w:rPr>
                <w:sz w:val="20"/>
                <w:szCs w:val="20"/>
              </w:rPr>
              <w:t>its</w:t>
            </w:r>
            <w:proofErr w:type="spellEnd"/>
            <w:r>
              <w:rPr>
                <w:sz w:val="20"/>
                <w:szCs w:val="20"/>
              </w:rPr>
              <w:t xml:space="preserve"> </w:t>
            </w:r>
            <w:proofErr w:type="spellStart"/>
            <w:r>
              <w:rPr>
                <w:sz w:val="20"/>
                <w:szCs w:val="20"/>
              </w:rPr>
              <w:t>consolidated</w:t>
            </w:r>
            <w:proofErr w:type="spellEnd"/>
            <w:r>
              <w:rPr>
                <w:sz w:val="20"/>
                <w:szCs w:val="20"/>
              </w:rPr>
              <w:t xml:space="preserve"> tax havens list </w:t>
            </w:r>
            <w:proofErr w:type="spellStart"/>
            <w:r>
              <w:rPr>
                <w:sz w:val="20"/>
                <w:szCs w:val="20"/>
              </w:rPr>
              <w:t>published</w:t>
            </w:r>
            <w:proofErr w:type="spellEnd"/>
            <w:r>
              <w:rPr>
                <w:sz w:val="20"/>
                <w:szCs w:val="20"/>
              </w:rPr>
              <w:t xml:space="preserve"> on 17 </w:t>
            </w:r>
            <w:proofErr w:type="spellStart"/>
            <w:r>
              <w:rPr>
                <w:sz w:val="20"/>
                <w:szCs w:val="20"/>
              </w:rPr>
              <w:t>June</w:t>
            </w:r>
            <w:proofErr w:type="spellEnd"/>
            <w:r>
              <w:rPr>
                <w:sz w:val="20"/>
                <w:szCs w:val="20"/>
              </w:rPr>
              <w:t xml:space="preserve"> 2015. </w:t>
            </w:r>
            <w:proofErr w:type="spellStart"/>
            <w:r>
              <w:rPr>
                <w:sz w:val="20"/>
                <w:szCs w:val="20"/>
              </w:rPr>
              <w:t>That</w:t>
            </w:r>
            <w:proofErr w:type="spellEnd"/>
            <w:r>
              <w:rPr>
                <w:sz w:val="20"/>
                <w:szCs w:val="20"/>
              </w:rPr>
              <w:t xml:space="preserve"> list has been </w:t>
            </w:r>
            <w:proofErr w:type="spellStart"/>
            <w:r>
              <w:rPr>
                <w:sz w:val="20"/>
                <w:szCs w:val="20"/>
              </w:rPr>
              <w:t>criticised</w:t>
            </w:r>
            <w:proofErr w:type="spellEnd"/>
            <w:r>
              <w:rPr>
                <w:sz w:val="20"/>
                <w:szCs w:val="20"/>
              </w:rPr>
              <w:t xml:space="preserve"> </w:t>
            </w:r>
            <w:proofErr w:type="spellStart"/>
            <w:r>
              <w:rPr>
                <w:sz w:val="20"/>
                <w:szCs w:val="20"/>
              </w:rPr>
              <w:t>by</w:t>
            </w:r>
            <w:proofErr w:type="spellEnd"/>
            <w:r>
              <w:rPr>
                <w:sz w:val="20"/>
                <w:szCs w:val="20"/>
              </w:rPr>
              <w:t xml:space="preserve"> the OECD </w:t>
            </w:r>
            <w:proofErr w:type="spellStart"/>
            <w:r>
              <w:rPr>
                <w:sz w:val="20"/>
                <w:szCs w:val="20"/>
              </w:rPr>
              <w:t>and</w:t>
            </w:r>
            <w:proofErr w:type="spellEnd"/>
            <w:r>
              <w:rPr>
                <w:sz w:val="20"/>
                <w:szCs w:val="20"/>
              </w:rPr>
              <w:t xml:space="preserve"> </w:t>
            </w:r>
            <w:proofErr w:type="spellStart"/>
            <w:r>
              <w:rPr>
                <w:sz w:val="20"/>
                <w:szCs w:val="20"/>
              </w:rPr>
              <w:t>others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creating</w:t>
            </w:r>
            <w:proofErr w:type="spellEnd"/>
            <w:r>
              <w:rPr>
                <w:sz w:val="20"/>
                <w:szCs w:val="20"/>
              </w:rPr>
              <w:t xml:space="preserve"> the </w:t>
            </w:r>
            <w:proofErr w:type="spellStart"/>
            <w:r>
              <w:rPr>
                <w:sz w:val="20"/>
                <w:szCs w:val="20"/>
              </w:rPr>
              <w:t>impression</w:t>
            </w:r>
            <w:proofErr w:type="spellEnd"/>
            <w:r>
              <w:rPr>
                <w:sz w:val="20"/>
                <w:szCs w:val="20"/>
              </w:rPr>
              <w:t xml:space="preserve"> of a common EU blacklist </w:t>
            </w:r>
            <w:proofErr w:type="spellStart"/>
            <w:r>
              <w:rPr>
                <w:sz w:val="20"/>
                <w:szCs w:val="20"/>
              </w:rPr>
              <w:t>and</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relying</w:t>
            </w:r>
            <w:proofErr w:type="spellEnd"/>
            <w:r>
              <w:rPr>
                <w:sz w:val="20"/>
                <w:szCs w:val="20"/>
              </w:rPr>
              <w:t xml:space="preserve"> on </w:t>
            </w:r>
            <w:proofErr w:type="spellStart"/>
            <w:r>
              <w:rPr>
                <w:sz w:val="20"/>
                <w:szCs w:val="20"/>
              </w:rPr>
              <w:t>partially</w:t>
            </w:r>
            <w:proofErr w:type="spellEnd"/>
            <w:r>
              <w:rPr>
                <w:sz w:val="20"/>
                <w:szCs w:val="20"/>
              </w:rPr>
              <w:t xml:space="preserve"> </w:t>
            </w:r>
            <w:proofErr w:type="spellStart"/>
            <w:r>
              <w:rPr>
                <w:sz w:val="20"/>
                <w:szCs w:val="20"/>
              </w:rPr>
              <w:t>outdated</w:t>
            </w:r>
            <w:proofErr w:type="spellEnd"/>
            <w:r>
              <w:rPr>
                <w:sz w:val="20"/>
                <w:szCs w:val="20"/>
              </w:rPr>
              <w:t xml:space="preserve"> information. The </w:t>
            </w:r>
            <w:proofErr w:type="spellStart"/>
            <w:r>
              <w:rPr>
                <w:sz w:val="20"/>
                <w:szCs w:val="20"/>
              </w:rPr>
              <w:t>Commission</w:t>
            </w:r>
            <w:proofErr w:type="spellEnd"/>
            <w:r>
              <w:rPr>
                <w:sz w:val="20"/>
                <w:szCs w:val="20"/>
              </w:rPr>
              <w:t xml:space="preserve"> has </w:t>
            </w:r>
            <w:proofErr w:type="spellStart"/>
            <w:r>
              <w:rPr>
                <w:sz w:val="20"/>
                <w:szCs w:val="20"/>
              </w:rPr>
              <w:t>asked</w:t>
            </w:r>
            <w:proofErr w:type="spellEnd"/>
            <w:r>
              <w:rPr>
                <w:sz w:val="20"/>
                <w:szCs w:val="20"/>
              </w:rPr>
              <w:t xml:space="preserve"> member </w:t>
            </w:r>
            <w:proofErr w:type="spellStart"/>
            <w:r>
              <w:rPr>
                <w:sz w:val="20"/>
                <w:szCs w:val="20"/>
              </w:rPr>
              <w:t>states</w:t>
            </w:r>
            <w:proofErr w:type="spellEnd"/>
            <w:r>
              <w:rPr>
                <w:sz w:val="20"/>
                <w:szCs w:val="20"/>
              </w:rPr>
              <w:t xml:space="preserve"> </w:t>
            </w:r>
            <w:proofErr w:type="spellStart"/>
            <w:r>
              <w:rPr>
                <w:sz w:val="20"/>
                <w:szCs w:val="20"/>
              </w:rPr>
              <w:t>to</w:t>
            </w:r>
            <w:proofErr w:type="spellEnd"/>
            <w:r>
              <w:rPr>
                <w:sz w:val="20"/>
                <w:szCs w:val="20"/>
              </w:rPr>
              <w:t xml:space="preserve"> report, at short </w:t>
            </w:r>
            <w:proofErr w:type="spellStart"/>
            <w:r>
              <w:rPr>
                <w:sz w:val="20"/>
                <w:szCs w:val="20"/>
              </w:rPr>
              <w:t>notice</w:t>
            </w:r>
            <w:proofErr w:type="spellEnd"/>
            <w:r>
              <w:rPr>
                <w:sz w:val="20"/>
                <w:szCs w:val="20"/>
              </w:rPr>
              <w:t xml:space="preserve">, </w:t>
            </w:r>
            <w:proofErr w:type="spellStart"/>
            <w:r>
              <w:rPr>
                <w:sz w:val="20"/>
                <w:szCs w:val="20"/>
              </w:rPr>
              <w:t>any</w:t>
            </w:r>
            <w:proofErr w:type="spellEnd"/>
            <w:r>
              <w:rPr>
                <w:sz w:val="20"/>
                <w:szCs w:val="20"/>
              </w:rPr>
              <w:t xml:space="preserve"> recent changes in </w:t>
            </w:r>
            <w:proofErr w:type="spellStart"/>
            <w:r>
              <w:rPr>
                <w:sz w:val="20"/>
                <w:szCs w:val="20"/>
              </w:rPr>
              <w:t>national</w:t>
            </w:r>
            <w:proofErr w:type="spellEnd"/>
            <w:r>
              <w:rPr>
                <w:sz w:val="20"/>
                <w:szCs w:val="20"/>
              </w:rPr>
              <w:t xml:space="preserve"> </w:t>
            </w:r>
            <w:proofErr w:type="spellStart"/>
            <w:r>
              <w:rPr>
                <w:sz w:val="20"/>
                <w:szCs w:val="20"/>
              </w:rPr>
              <w:t>blacklists</w:t>
            </w:r>
            <w:proofErr w:type="spellEnd"/>
            <w:r>
              <w:rPr>
                <w:sz w:val="20"/>
                <w:szCs w:val="20"/>
              </w:rPr>
              <w:t>.</w:t>
            </w:r>
          </w:p>
          <w:p w:rsidR="002A3AC5" w:rsidRDefault="002A3AC5">
            <w:pPr>
              <w:pStyle w:val="Lijstalinea"/>
              <w:spacing w:line="276" w:lineRule="auto"/>
              <w:rPr>
                <w:sz w:val="20"/>
                <w:szCs w:val="20"/>
              </w:rPr>
            </w:pPr>
          </w:p>
          <w:p w:rsidR="002A3AC5" w:rsidRDefault="002A3AC5">
            <w:pPr>
              <w:pStyle w:val="Lijstalinea"/>
              <w:spacing w:line="276" w:lineRule="auto"/>
              <w:ind w:left="993" w:hanging="284"/>
              <w:rPr>
                <w:sz w:val="20"/>
                <w:szCs w:val="20"/>
              </w:rPr>
            </w:pPr>
            <w:r>
              <w:rPr>
                <w:sz w:val="20"/>
                <w:szCs w:val="20"/>
              </w:rPr>
              <w:t>-</w:t>
            </w:r>
            <w:r>
              <w:rPr>
                <w:rFonts w:ascii="Times New Roman" w:hAnsi="Times New Roman"/>
                <w:sz w:val="14"/>
                <w:szCs w:val="14"/>
              </w:rPr>
              <w:t xml:space="preserve">        </w:t>
            </w:r>
            <w:proofErr w:type="spellStart"/>
            <w:r>
              <w:rPr>
                <w:sz w:val="20"/>
                <w:szCs w:val="20"/>
              </w:rPr>
              <w:t>Decision</w:t>
            </w:r>
            <w:proofErr w:type="spellEnd"/>
            <w:r>
              <w:rPr>
                <w:sz w:val="20"/>
                <w:szCs w:val="20"/>
              </w:rPr>
              <w:t xml:space="preserve"> </w:t>
            </w:r>
            <w:proofErr w:type="spellStart"/>
            <w:r>
              <w:rPr>
                <w:sz w:val="20"/>
                <w:szCs w:val="20"/>
              </w:rPr>
              <w:t>establishing</w:t>
            </w:r>
            <w:proofErr w:type="spellEnd"/>
            <w:r>
              <w:rPr>
                <w:sz w:val="20"/>
                <w:szCs w:val="20"/>
              </w:rPr>
              <w:t xml:space="preserve"> the Platform 2015-2019: </w:t>
            </w:r>
            <w:hyperlink r:id="rId12" w:history="1">
              <w:r>
                <w:rPr>
                  <w:rStyle w:val="Hyperlink"/>
                  <w:sz w:val="20"/>
                  <w:szCs w:val="20"/>
                </w:rPr>
                <w:t>EN/DE/FR</w:t>
              </w:r>
            </w:hyperlink>
          </w:p>
          <w:p w:rsidR="002A3AC5" w:rsidRDefault="002A3AC5">
            <w:pPr>
              <w:pStyle w:val="Lijstalinea"/>
              <w:spacing w:line="276" w:lineRule="auto"/>
              <w:ind w:left="993" w:hanging="284"/>
              <w:rPr>
                <w:sz w:val="20"/>
                <w:szCs w:val="20"/>
              </w:rPr>
            </w:pPr>
            <w:r>
              <w:rPr>
                <w:sz w:val="20"/>
                <w:szCs w:val="20"/>
              </w:rPr>
              <w:t>-</w:t>
            </w:r>
            <w:r>
              <w:rPr>
                <w:rFonts w:ascii="Times New Roman" w:hAnsi="Times New Roman"/>
                <w:sz w:val="14"/>
                <w:szCs w:val="14"/>
              </w:rPr>
              <w:t xml:space="preserve">        </w:t>
            </w:r>
            <w:r>
              <w:rPr>
                <w:sz w:val="20"/>
                <w:szCs w:val="20"/>
              </w:rPr>
              <w:t xml:space="preserve">Information on the Platform on the European </w:t>
            </w:r>
            <w:proofErr w:type="spellStart"/>
            <w:r>
              <w:rPr>
                <w:sz w:val="20"/>
                <w:szCs w:val="20"/>
              </w:rPr>
              <w:t>Commission´s</w:t>
            </w:r>
            <w:proofErr w:type="spellEnd"/>
            <w:r>
              <w:rPr>
                <w:sz w:val="20"/>
                <w:szCs w:val="20"/>
              </w:rPr>
              <w:t xml:space="preserve"> website: </w:t>
            </w:r>
            <w:hyperlink r:id="rId13" w:history="1">
              <w:r>
                <w:rPr>
                  <w:rStyle w:val="Hyperlink"/>
                  <w:sz w:val="20"/>
                  <w:szCs w:val="20"/>
                </w:rPr>
                <w:t>EN</w:t>
              </w:r>
            </w:hyperlink>
            <w:r>
              <w:rPr>
                <w:sz w:val="20"/>
                <w:szCs w:val="20"/>
              </w:rPr>
              <w:t xml:space="preserve"> (DE, FR </w:t>
            </w:r>
            <w:proofErr w:type="spellStart"/>
            <w:r>
              <w:rPr>
                <w:sz w:val="20"/>
                <w:szCs w:val="20"/>
              </w:rPr>
              <w:t>available</w:t>
            </w:r>
            <w:proofErr w:type="spellEnd"/>
            <w:r>
              <w:rPr>
                <w:sz w:val="20"/>
                <w:szCs w:val="20"/>
              </w:rPr>
              <w:t>)</w:t>
            </w:r>
          </w:p>
          <w:p w:rsidR="002A3AC5" w:rsidRDefault="002A3AC5">
            <w:pPr>
              <w:pStyle w:val="Lijstalinea"/>
              <w:spacing w:line="276" w:lineRule="auto"/>
              <w:ind w:left="993" w:hanging="284"/>
              <w:rPr>
                <w:sz w:val="20"/>
                <w:szCs w:val="20"/>
              </w:rPr>
            </w:pPr>
            <w:r>
              <w:rPr>
                <w:sz w:val="20"/>
                <w:szCs w:val="20"/>
              </w:rPr>
              <w:t>-</w:t>
            </w:r>
            <w:r>
              <w:rPr>
                <w:rFonts w:ascii="Times New Roman" w:hAnsi="Times New Roman"/>
                <w:sz w:val="14"/>
                <w:szCs w:val="14"/>
              </w:rPr>
              <w:t xml:space="preserve">        </w:t>
            </w:r>
            <w:r>
              <w:rPr>
                <w:sz w:val="20"/>
                <w:szCs w:val="20"/>
              </w:rPr>
              <w:t xml:space="preserve">OECD letter of 19 </w:t>
            </w:r>
            <w:proofErr w:type="spellStart"/>
            <w:r>
              <w:rPr>
                <w:sz w:val="20"/>
                <w:szCs w:val="20"/>
              </w:rPr>
              <w:t>June</w:t>
            </w:r>
            <w:proofErr w:type="spellEnd"/>
            <w:r>
              <w:rPr>
                <w:sz w:val="20"/>
                <w:szCs w:val="20"/>
              </w:rPr>
              <w:t xml:space="preserve"> 2015 </w:t>
            </w:r>
            <w:proofErr w:type="spellStart"/>
            <w:r>
              <w:rPr>
                <w:sz w:val="20"/>
                <w:szCs w:val="20"/>
              </w:rPr>
              <w:t>to</w:t>
            </w:r>
            <w:proofErr w:type="spellEnd"/>
            <w:r>
              <w:rPr>
                <w:sz w:val="20"/>
                <w:szCs w:val="20"/>
              </w:rPr>
              <w:t xml:space="preserve"> Global Forum members: </w:t>
            </w:r>
            <w:hyperlink r:id="rId14" w:history="1">
              <w:r>
                <w:rPr>
                  <w:rStyle w:val="Hyperlink"/>
                  <w:sz w:val="20"/>
                  <w:szCs w:val="20"/>
                </w:rPr>
                <w:t>EN</w:t>
              </w:r>
            </w:hyperlink>
          </w:p>
          <w:p w:rsidR="002A3AC5" w:rsidRDefault="002A3AC5">
            <w:pPr>
              <w:pStyle w:val="Lijstalinea"/>
              <w:spacing w:line="276" w:lineRule="auto"/>
              <w:ind w:left="360"/>
              <w:rPr>
                <w:sz w:val="20"/>
                <w:szCs w:val="20"/>
              </w:rPr>
            </w:pPr>
          </w:p>
          <w:p w:rsidR="002A3AC5" w:rsidRDefault="002A3AC5">
            <w:pPr>
              <w:pStyle w:val="Lijstalinea"/>
              <w:spacing w:line="276" w:lineRule="auto"/>
              <w:ind w:hanging="360"/>
              <w:rPr>
                <w:b/>
                <w:bCs/>
                <w:sz w:val="20"/>
                <w:szCs w:val="20"/>
              </w:rPr>
            </w:pPr>
            <w:r>
              <w:rPr>
                <w:b/>
                <w:bCs/>
                <w:sz w:val="20"/>
                <w:szCs w:val="20"/>
              </w:rPr>
              <w:t>6.</w:t>
            </w:r>
            <w:r>
              <w:rPr>
                <w:rFonts w:ascii="Times New Roman" w:hAnsi="Times New Roman"/>
                <w:b/>
                <w:bCs/>
                <w:sz w:val="14"/>
                <w:szCs w:val="14"/>
              </w:rPr>
              <w:t xml:space="preserve">       </w:t>
            </w:r>
            <w:r>
              <w:rPr>
                <w:b/>
                <w:bCs/>
                <w:sz w:val="20"/>
                <w:szCs w:val="20"/>
              </w:rPr>
              <w:t xml:space="preserve">EP </w:t>
            </w:r>
            <w:proofErr w:type="spellStart"/>
            <w:r>
              <w:rPr>
                <w:b/>
                <w:bCs/>
                <w:sz w:val="20"/>
                <w:szCs w:val="20"/>
              </w:rPr>
              <w:t>extends</w:t>
            </w:r>
            <w:proofErr w:type="spellEnd"/>
            <w:r>
              <w:rPr>
                <w:b/>
                <w:bCs/>
                <w:sz w:val="20"/>
                <w:szCs w:val="20"/>
              </w:rPr>
              <w:t xml:space="preserve"> TAXE </w:t>
            </w:r>
            <w:proofErr w:type="spellStart"/>
            <w:r>
              <w:rPr>
                <w:b/>
                <w:bCs/>
                <w:sz w:val="20"/>
                <w:szCs w:val="20"/>
              </w:rPr>
              <w:t>Committee</w:t>
            </w:r>
            <w:proofErr w:type="spellEnd"/>
            <w:r>
              <w:rPr>
                <w:b/>
                <w:bCs/>
                <w:sz w:val="20"/>
                <w:szCs w:val="20"/>
              </w:rPr>
              <w:t xml:space="preserve"> </w:t>
            </w:r>
            <w:proofErr w:type="spellStart"/>
            <w:r>
              <w:rPr>
                <w:b/>
                <w:bCs/>
                <w:sz w:val="20"/>
                <w:szCs w:val="20"/>
              </w:rPr>
              <w:t>mandate</w:t>
            </w:r>
            <w:proofErr w:type="spellEnd"/>
          </w:p>
          <w:p w:rsidR="002A3AC5" w:rsidRDefault="002A3AC5">
            <w:pPr>
              <w:pStyle w:val="Lijstalinea"/>
              <w:spacing w:line="276" w:lineRule="auto"/>
              <w:rPr>
                <w:b/>
                <w:bCs/>
                <w:sz w:val="20"/>
                <w:szCs w:val="20"/>
              </w:rPr>
            </w:pPr>
          </w:p>
          <w:p w:rsidR="002A3AC5" w:rsidRDefault="002A3AC5">
            <w:pPr>
              <w:pStyle w:val="Lijstalinea"/>
              <w:spacing w:line="276" w:lineRule="auto"/>
              <w:rPr>
                <w:sz w:val="20"/>
                <w:szCs w:val="20"/>
              </w:rPr>
            </w:pPr>
            <w:r>
              <w:rPr>
                <w:sz w:val="20"/>
                <w:szCs w:val="20"/>
              </w:rPr>
              <w:t xml:space="preserve">On 7 </w:t>
            </w:r>
            <w:proofErr w:type="spellStart"/>
            <w:r>
              <w:rPr>
                <w:sz w:val="20"/>
                <w:szCs w:val="20"/>
              </w:rPr>
              <w:t>July</w:t>
            </w:r>
            <w:proofErr w:type="spellEnd"/>
            <w:r>
              <w:rPr>
                <w:sz w:val="20"/>
                <w:szCs w:val="20"/>
              </w:rPr>
              <w:t xml:space="preserve"> 2015, the European </w:t>
            </w:r>
            <w:proofErr w:type="spellStart"/>
            <w:r>
              <w:rPr>
                <w:sz w:val="20"/>
                <w:szCs w:val="20"/>
              </w:rPr>
              <w:t>Parliament</w:t>
            </w:r>
            <w:proofErr w:type="spellEnd"/>
            <w:r>
              <w:rPr>
                <w:sz w:val="20"/>
                <w:szCs w:val="20"/>
              </w:rPr>
              <w:t xml:space="preserve"> </w:t>
            </w:r>
            <w:proofErr w:type="spellStart"/>
            <w:r>
              <w:rPr>
                <w:sz w:val="20"/>
                <w:szCs w:val="20"/>
              </w:rPr>
              <w:t>extended</w:t>
            </w:r>
            <w:proofErr w:type="spellEnd"/>
            <w:r>
              <w:rPr>
                <w:sz w:val="20"/>
                <w:szCs w:val="20"/>
              </w:rPr>
              <w:t xml:space="preserve"> the </w:t>
            </w:r>
            <w:proofErr w:type="spellStart"/>
            <w:r>
              <w:rPr>
                <w:sz w:val="20"/>
                <w:szCs w:val="20"/>
              </w:rPr>
              <w:t>mandate</w:t>
            </w:r>
            <w:proofErr w:type="spellEnd"/>
            <w:r>
              <w:rPr>
                <w:sz w:val="20"/>
                <w:szCs w:val="20"/>
              </w:rPr>
              <w:t xml:space="preserve"> of </w:t>
            </w:r>
            <w:proofErr w:type="spellStart"/>
            <w:r>
              <w:rPr>
                <w:sz w:val="20"/>
                <w:szCs w:val="20"/>
              </w:rPr>
              <w:t>its</w:t>
            </w:r>
            <w:proofErr w:type="spellEnd"/>
            <w:r>
              <w:rPr>
                <w:sz w:val="20"/>
                <w:szCs w:val="20"/>
              </w:rPr>
              <w:t xml:space="preserve"> </w:t>
            </w:r>
            <w:r>
              <w:rPr>
                <w:i/>
                <w:iCs/>
                <w:sz w:val="20"/>
                <w:szCs w:val="20"/>
              </w:rPr>
              <w:t xml:space="preserve">Special </w:t>
            </w:r>
            <w:proofErr w:type="spellStart"/>
            <w:r>
              <w:rPr>
                <w:i/>
                <w:iCs/>
                <w:sz w:val="20"/>
                <w:szCs w:val="20"/>
              </w:rPr>
              <w:t>Committee</w:t>
            </w:r>
            <w:proofErr w:type="spellEnd"/>
            <w:r>
              <w:rPr>
                <w:i/>
                <w:iCs/>
                <w:sz w:val="20"/>
                <w:szCs w:val="20"/>
              </w:rPr>
              <w:t xml:space="preserve"> on tax </w:t>
            </w:r>
            <w:proofErr w:type="spellStart"/>
            <w:r>
              <w:rPr>
                <w:i/>
                <w:iCs/>
                <w:sz w:val="20"/>
                <w:szCs w:val="20"/>
              </w:rPr>
              <w:t>rulings</w:t>
            </w:r>
            <w:proofErr w:type="spellEnd"/>
            <w:r>
              <w:rPr>
                <w:i/>
                <w:iCs/>
                <w:sz w:val="20"/>
                <w:szCs w:val="20"/>
              </w:rPr>
              <w:t xml:space="preserve"> </w:t>
            </w:r>
            <w:proofErr w:type="spellStart"/>
            <w:r>
              <w:rPr>
                <w:i/>
                <w:iCs/>
                <w:sz w:val="20"/>
                <w:szCs w:val="20"/>
              </w:rPr>
              <w:t>and</w:t>
            </w:r>
            <w:proofErr w:type="spellEnd"/>
            <w:r>
              <w:rPr>
                <w:i/>
                <w:iCs/>
                <w:sz w:val="20"/>
                <w:szCs w:val="20"/>
              </w:rPr>
              <w:t xml:space="preserve"> </w:t>
            </w:r>
            <w:proofErr w:type="spellStart"/>
            <w:r>
              <w:rPr>
                <w:i/>
                <w:iCs/>
                <w:sz w:val="20"/>
                <w:szCs w:val="20"/>
              </w:rPr>
              <w:t>other</w:t>
            </w:r>
            <w:proofErr w:type="spellEnd"/>
            <w:r>
              <w:rPr>
                <w:i/>
                <w:iCs/>
                <w:sz w:val="20"/>
                <w:szCs w:val="20"/>
              </w:rPr>
              <w:t xml:space="preserve"> </w:t>
            </w:r>
            <w:proofErr w:type="spellStart"/>
            <w:r>
              <w:rPr>
                <w:i/>
                <w:iCs/>
                <w:sz w:val="20"/>
                <w:szCs w:val="20"/>
              </w:rPr>
              <w:t>measures</w:t>
            </w:r>
            <w:proofErr w:type="spellEnd"/>
            <w:r>
              <w:rPr>
                <w:i/>
                <w:iCs/>
                <w:sz w:val="20"/>
                <w:szCs w:val="20"/>
              </w:rPr>
              <w:t xml:space="preserve"> </w:t>
            </w:r>
            <w:proofErr w:type="spellStart"/>
            <w:r>
              <w:rPr>
                <w:i/>
                <w:iCs/>
                <w:sz w:val="20"/>
                <w:szCs w:val="20"/>
              </w:rPr>
              <w:t>similar</w:t>
            </w:r>
            <w:proofErr w:type="spellEnd"/>
            <w:r>
              <w:rPr>
                <w:i/>
                <w:iCs/>
                <w:sz w:val="20"/>
                <w:szCs w:val="20"/>
              </w:rPr>
              <w:t xml:space="preserve"> in </w:t>
            </w:r>
            <w:proofErr w:type="spellStart"/>
            <w:r>
              <w:rPr>
                <w:i/>
                <w:iCs/>
                <w:sz w:val="20"/>
                <w:szCs w:val="20"/>
              </w:rPr>
              <w:t>nature</w:t>
            </w:r>
            <w:proofErr w:type="spellEnd"/>
            <w:r>
              <w:rPr>
                <w:i/>
                <w:iCs/>
                <w:sz w:val="20"/>
                <w:szCs w:val="20"/>
              </w:rPr>
              <w:t xml:space="preserve"> or effect </w:t>
            </w:r>
            <w:r>
              <w:rPr>
                <w:sz w:val="20"/>
                <w:szCs w:val="20"/>
              </w:rPr>
              <w:t xml:space="preserve">(TAXE) </w:t>
            </w:r>
            <w:proofErr w:type="spellStart"/>
            <w:r>
              <w:rPr>
                <w:sz w:val="20"/>
                <w:szCs w:val="20"/>
              </w:rPr>
              <w:t>until</w:t>
            </w:r>
            <w:proofErr w:type="spellEnd"/>
            <w:r>
              <w:rPr>
                <w:sz w:val="20"/>
                <w:szCs w:val="20"/>
              </w:rPr>
              <w:t xml:space="preserve"> the end of November 2015. The </w:t>
            </w:r>
            <w:proofErr w:type="spellStart"/>
            <w:r>
              <w:rPr>
                <w:sz w:val="20"/>
                <w:szCs w:val="20"/>
              </w:rPr>
              <w:t>Committee</w:t>
            </w:r>
            <w:proofErr w:type="spellEnd"/>
            <w:r>
              <w:rPr>
                <w:sz w:val="20"/>
                <w:szCs w:val="20"/>
              </w:rPr>
              <w:t xml:space="preserve"> has </w:t>
            </w:r>
            <w:proofErr w:type="spellStart"/>
            <w:r>
              <w:rPr>
                <w:sz w:val="20"/>
                <w:szCs w:val="20"/>
              </w:rPr>
              <w:t>faced</w:t>
            </w:r>
            <w:proofErr w:type="spellEnd"/>
            <w:r>
              <w:rPr>
                <w:sz w:val="20"/>
                <w:szCs w:val="20"/>
              </w:rPr>
              <w:t xml:space="preserve"> </w:t>
            </w:r>
            <w:proofErr w:type="spellStart"/>
            <w:r>
              <w:rPr>
                <w:sz w:val="20"/>
                <w:szCs w:val="20"/>
              </w:rPr>
              <w:t>delays</w:t>
            </w:r>
            <w:proofErr w:type="spellEnd"/>
            <w:r>
              <w:rPr>
                <w:sz w:val="20"/>
                <w:szCs w:val="20"/>
              </w:rPr>
              <w:t xml:space="preserve"> in </w:t>
            </w:r>
            <w:proofErr w:type="spellStart"/>
            <w:r>
              <w:rPr>
                <w:sz w:val="20"/>
                <w:szCs w:val="20"/>
              </w:rPr>
              <w:t>its</w:t>
            </w:r>
            <w:proofErr w:type="spellEnd"/>
            <w:r>
              <w:rPr>
                <w:sz w:val="20"/>
                <w:szCs w:val="20"/>
              </w:rPr>
              <w:t xml:space="preserve"> </w:t>
            </w:r>
            <w:proofErr w:type="spellStart"/>
            <w:r>
              <w:rPr>
                <w:sz w:val="20"/>
                <w:szCs w:val="20"/>
              </w:rPr>
              <w:t>work</w:t>
            </w:r>
            <w:proofErr w:type="spellEnd"/>
            <w:r>
              <w:rPr>
                <w:sz w:val="20"/>
                <w:szCs w:val="20"/>
              </w:rPr>
              <w:t xml:space="preserve"> </w:t>
            </w:r>
            <w:proofErr w:type="spellStart"/>
            <w:r>
              <w:rPr>
                <w:sz w:val="20"/>
                <w:szCs w:val="20"/>
              </w:rPr>
              <w:t>due</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an</w:t>
            </w:r>
            <w:proofErr w:type="spellEnd"/>
            <w:r>
              <w:rPr>
                <w:sz w:val="20"/>
                <w:szCs w:val="20"/>
              </w:rPr>
              <w:t xml:space="preserve"> </w:t>
            </w:r>
            <w:proofErr w:type="spellStart"/>
            <w:r>
              <w:rPr>
                <w:sz w:val="20"/>
                <w:szCs w:val="20"/>
              </w:rPr>
              <w:t>alleged</w:t>
            </w:r>
            <w:proofErr w:type="spellEnd"/>
            <w:r>
              <w:rPr>
                <w:sz w:val="20"/>
                <w:szCs w:val="20"/>
              </w:rPr>
              <w:t xml:space="preserve"> </w:t>
            </w:r>
            <w:proofErr w:type="spellStart"/>
            <w:r>
              <w:rPr>
                <w:sz w:val="20"/>
                <w:szCs w:val="20"/>
              </w:rPr>
              <w:t>lack</w:t>
            </w:r>
            <w:proofErr w:type="spellEnd"/>
            <w:r>
              <w:rPr>
                <w:sz w:val="20"/>
                <w:szCs w:val="20"/>
              </w:rPr>
              <w:t xml:space="preserve"> of </w:t>
            </w:r>
            <w:proofErr w:type="spellStart"/>
            <w:r>
              <w:rPr>
                <w:sz w:val="20"/>
                <w:szCs w:val="20"/>
              </w:rPr>
              <w:t>willingness</w:t>
            </w:r>
            <w:proofErr w:type="spellEnd"/>
            <w:r>
              <w:rPr>
                <w:sz w:val="20"/>
                <w:szCs w:val="20"/>
              </w:rPr>
              <w:t xml:space="preserve"> of multinationals </w:t>
            </w:r>
            <w:proofErr w:type="spellStart"/>
            <w:r>
              <w:rPr>
                <w:sz w:val="20"/>
                <w:szCs w:val="20"/>
              </w:rPr>
              <w:t>to</w:t>
            </w:r>
            <w:proofErr w:type="spellEnd"/>
            <w:r>
              <w:rPr>
                <w:sz w:val="20"/>
                <w:szCs w:val="20"/>
              </w:rPr>
              <w:t xml:space="preserve"> </w:t>
            </w:r>
            <w:proofErr w:type="spellStart"/>
            <w:r>
              <w:rPr>
                <w:sz w:val="20"/>
                <w:szCs w:val="20"/>
              </w:rPr>
              <w:t>cooperate</w:t>
            </w:r>
            <w:proofErr w:type="spellEnd"/>
            <w:r>
              <w:rPr>
                <w:sz w:val="20"/>
                <w:szCs w:val="20"/>
              </w:rPr>
              <w:t xml:space="preserve"> </w:t>
            </w:r>
            <w:proofErr w:type="spellStart"/>
            <w:r>
              <w:rPr>
                <w:sz w:val="20"/>
                <w:szCs w:val="20"/>
              </w:rPr>
              <w:t>with</w:t>
            </w:r>
            <w:proofErr w:type="spellEnd"/>
            <w:r>
              <w:rPr>
                <w:sz w:val="20"/>
                <w:szCs w:val="20"/>
              </w:rPr>
              <w:t xml:space="preserve"> the </w:t>
            </w:r>
            <w:proofErr w:type="spellStart"/>
            <w:r>
              <w:rPr>
                <w:sz w:val="20"/>
                <w:szCs w:val="20"/>
              </w:rPr>
              <w:t>Committee</w:t>
            </w:r>
            <w:proofErr w:type="spellEnd"/>
            <w:r>
              <w:rPr>
                <w:sz w:val="20"/>
                <w:szCs w:val="20"/>
              </w:rPr>
              <w:t xml:space="preserve">. On 7 September 2015, the rapporteurs Elisa </w:t>
            </w:r>
            <w:proofErr w:type="spellStart"/>
            <w:r>
              <w:rPr>
                <w:sz w:val="20"/>
                <w:szCs w:val="20"/>
              </w:rPr>
              <w:t>Ferreira</w:t>
            </w:r>
            <w:proofErr w:type="spellEnd"/>
            <w:r>
              <w:rPr>
                <w:sz w:val="20"/>
                <w:szCs w:val="20"/>
              </w:rPr>
              <w:t xml:space="preserve"> (S&amp;D, Portugal) </w:t>
            </w:r>
            <w:proofErr w:type="spellStart"/>
            <w:r>
              <w:rPr>
                <w:sz w:val="20"/>
                <w:szCs w:val="20"/>
              </w:rPr>
              <w:t>and</w:t>
            </w:r>
            <w:proofErr w:type="spellEnd"/>
            <w:r>
              <w:rPr>
                <w:sz w:val="20"/>
                <w:szCs w:val="20"/>
              </w:rPr>
              <w:t xml:space="preserve"> Michael </w:t>
            </w:r>
            <w:proofErr w:type="spellStart"/>
            <w:r>
              <w:rPr>
                <w:sz w:val="20"/>
                <w:szCs w:val="20"/>
              </w:rPr>
              <w:t>Theurer</w:t>
            </w:r>
            <w:proofErr w:type="spellEnd"/>
            <w:r>
              <w:rPr>
                <w:sz w:val="20"/>
                <w:szCs w:val="20"/>
              </w:rPr>
              <w:t xml:space="preserve"> (ALDE, Germany) are </w:t>
            </w:r>
            <w:proofErr w:type="spellStart"/>
            <w:r>
              <w:rPr>
                <w:sz w:val="20"/>
                <w:szCs w:val="20"/>
              </w:rPr>
              <w:t>due</w:t>
            </w:r>
            <w:proofErr w:type="spellEnd"/>
            <w:r>
              <w:rPr>
                <w:sz w:val="20"/>
                <w:szCs w:val="20"/>
              </w:rPr>
              <w:t xml:space="preserve"> </w:t>
            </w:r>
            <w:proofErr w:type="spellStart"/>
            <w:r>
              <w:rPr>
                <w:sz w:val="20"/>
                <w:szCs w:val="20"/>
              </w:rPr>
              <w:t>to</w:t>
            </w:r>
            <w:proofErr w:type="spellEnd"/>
            <w:r>
              <w:rPr>
                <w:sz w:val="20"/>
                <w:szCs w:val="20"/>
              </w:rPr>
              <w:t xml:space="preserve"> present </w:t>
            </w:r>
            <w:proofErr w:type="spellStart"/>
            <w:r>
              <w:rPr>
                <w:sz w:val="20"/>
                <w:szCs w:val="20"/>
              </w:rPr>
              <w:t>their</w:t>
            </w:r>
            <w:proofErr w:type="spellEnd"/>
            <w:r>
              <w:rPr>
                <w:sz w:val="20"/>
                <w:szCs w:val="20"/>
              </w:rPr>
              <w:t xml:space="preserve"> draft report </w:t>
            </w:r>
            <w:proofErr w:type="spellStart"/>
            <w:r>
              <w:rPr>
                <w:sz w:val="20"/>
                <w:szCs w:val="20"/>
              </w:rPr>
              <w:t>which</w:t>
            </w:r>
            <w:proofErr w:type="spellEnd"/>
            <w:r>
              <w:rPr>
                <w:sz w:val="20"/>
                <w:szCs w:val="20"/>
              </w:rPr>
              <w:t xml:space="preserve"> is </w:t>
            </w:r>
            <w:proofErr w:type="spellStart"/>
            <w:r>
              <w:rPr>
                <w:sz w:val="20"/>
                <w:szCs w:val="20"/>
              </w:rPr>
              <w:t>scheduled</w:t>
            </w:r>
            <w:proofErr w:type="spellEnd"/>
            <w:r>
              <w:rPr>
                <w:sz w:val="20"/>
                <w:szCs w:val="20"/>
              </w:rPr>
              <w:t xml:space="preserve"> </w:t>
            </w:r>
            <w:proofErr w:type="spellStart"/>
            <w:r>
              <w:rPr>
                <w:sz w:val="20"/>
                <w:szCs w:val="20"/>
              </w:rPr>
              <w:t>for</w:t>
            </w:r>
            <w:proofErr w:type="spellEnd"/>
            <w:r>
              <w:rPr>
                <w:sz w:val="20"/>
                <w:szCs w:val="20"/>
              </w:rPr>
              <w:t xml:space="preserve"> EP </w:t>
            </w:r>
            <w:proofErr w:type="spellStart"/>
            <w:r>
              <w:rPr>
                <w:sz w:val="20"/>
                <w:szCs w:val="20"/>
              </w:rPr>
              <w:t>plenary</w:t>
            </w:r>
            <w:proofErr w:type="spellEnd"/>
            <w:r>
              <w:rPr>
                <w:sz w:val="20"/>
                <w:szCs w:val="20"/>
              </w:rPr>
              <w:t xml:space="preserve"> </w:t>
            </w:r>
            <w:proofErr w:type="spellStart"/>
            <w:r>
              <w:rPr>
                <w:sz w:val="20"/>
                <w:szCs w:val="20"/>
              </w:rPr>
              <w:t>vote</w:t>
            </w:r>
            <w:proofErr w:type="spellEnd"/>
            <w:r>
              <w:rPr>
                <w:sz w:val="20"/>
                <w:szCs w:val="20"/>
              </w:rPr>
              <w:t xml:space="preserve"> in November.</w:t>
            </w:r>
          </w:p>
          <w:p w:rsidR="002A3AC5" w:rsidRDefault="002A3AC5">
            <w:pPr>
              <w:pStyle w:val="Lijstalinea"/>
              <w:spacing w:line="276" w:lineRule="auto"/>
              <w:rPr>
                <w:sz w:val="20"/>
                <w:szCs w:val="20"/>
              </w:rPr>
            </w:pPr>
          </w:p>
          <w:p w:rsidR="002A3AC5" w:rsidRDefault="002A3AC5">
            <w:pPr>
              <w:pStyle w:val="Lijstalinea"/>
              <w:spacing w:line="276" w:lineRule="auto"/>
              <w:ind w:left="993" w:hanging="284"/>
              <w:rPr>
                <w:sz w:val="20"/>
                <w:szCs w:val="20"/>
              </w:rPr>
            </w:pPr>
            <w:r>
              <w:rPr>
                <w:sz w:val="20"/>
                <w:szCs w:val="20"/>
              </w:rPr>
              <w:t>-</w:t>
            </w:r>
            <w:r>
              <w:rPr>
                <w:rFonts w:ascii="Times New Roman" w:hAnsi="Times New Roman"/>
                <w:sz w:val="14"/>
                <w:szCs w:val="14"/>
              </w:rPr>
              <w:t xml:space="preserve">        </w:t>
            </w:r>
            <w:r>
              <w:rPr>
                <w:sz w:val="20"/>
                <w:szCs w:val="20"/>
              </w:rPr>
              <w:t xml:space="preserve">TAXE </w:t>
            </w:r>
            <w:proofErr w:type="spellStart"/>
            <w:r>
              <w:rPr>
                <w:sz w:val="20"/>
                <w:szCs w:val="20"/>
              </w:rPr>
              <w:t>Committee</w:t>
            </w:r>
            <w:proofErr w:type="spellEnd"/>
            <w:r>
              <w:rPr>
                <w:sz w:val="20"/>
                <w:szCs w:val="20"/>
              </w:rPr>
              <w:t xml:space="preserve"> website: </w:t>
            </w:r>
            <w:hyperlink r:id="rId15" w:history="1">
              <w:r>
                <w:rPr>
                  <w:rStyle w:val="Hyperlink"/>
                  <w:sz w:val="20"/>
                  <w:szCs w:val="20"/>
                </w:rPr>
                <w:t>EN</w:t>
              </w:r>
            </w:hyperlink>
          </w:p>
          <w:p w:rsidR="002A3AC5" w:rsidRDefault="002A3AC5">
            <w:pPr>
              <w:pStyle w:val="Lijstalinea"/>
              <w:spacing w:line="276" w:lineRule="auto"/>
              <w:ind w:left="993" w:hanging="284"/>
              <w:rPr>
                <w:sz w:val="20"/>
                <w:szCs w:val="20"/>
              </w:rPr>
            </w:pPr>
            <w:r>
              <w:rPr>
                <w:sz w:val="20"/>
                <w:szCs w:val="20"/>
              </w:rPr>
              <w:t>-</w:t>
            </w:r>
            <w:r>
              <w:rPr>
                <w:rFonts w:ascii="Times New Roman" w:hAnsi="Times New Roman"/>
                <w:sz w:val="14"/>
                <w:szCs w:val="14"/>
              </w:rPr>
              <w:t xml:space="preserve">        </w:t>
            </w:r>
            <w:r>
              <w:rPr>
                <w:sz w:val="20"/>
                <w:szCs w:val="20"/>
              </w:rPr>
              <w:t xml:space="preserve">EP </w:t>
            </w:r>
            <w:proofErr w:type="spellStart"/>
            <w:r>
              <w:rPr>
                <w:sz w:val="20"/>
                <w:szCs w:val="20"/>
              </w:rPr>
              <w:t>legislative</w:t>
            </w:r>
            <w:proofErr w:type="spellEnd"/>
            <w:r>
              <w:rPr>
                <w:sz w:val="20"/>
                <w:szCs w:val="20"/>
              </w:rPr>
              <w:t xml:space="preserve"> </w:t>
            </w:r>
            <w:proofErr w:type="spellStart"/>
            <w:r>
              <w:rPr>
                <w:sz w:val="20"/>
                <w:szCs w:val="20"/>
              </w:rPr>
              <w:t>observatory</w:t>
            </w:r>
            <w:proofErr w:type="spellEnd"/>
            <w:r>
              <w:rPr>
                <w:sz w:val="20"/>
                <w:szCs w:val="20"/>
              </w:rPr>
              <w:t xml:space="preserve">, TAXE </w:t>
            </w:r>
            <w:proofErr w:type="spellStart"/>
            <w:r>
              <w:rPr>
                <w:sz w:val="20"/>
                <w:szCs w:val="20"/>
              </w:rPr>
              <w:t>initiative</w:t>
            </w:r>
            <w:proofErr w:type="spellEnd"/>
            <w:r>
              <w:rPr>
                <w:sz w:val="20"/>
                <w:szCs w:val="20"/>
              </w:rPr>
              <w:t xml:space="preserve"> report website: </w:t>
            </w:r>
            <w:hyperlink r:id="rId16" w:history="1">
              <w:r>
                <w:rPr>
                  <w:rStyle w:val="Hyperlink"/>
                  <w:sz w:val="20"/>
                  <w:szCs w:val="20"/>
                </w:rPr>
                <w:t>EN</w:t>
              </w:r>
            </w:hyperlink>
          </w:p>
          <w:p w:rsidR="002A3AC5" w:rsidRDefault="002A3AC5">
            <w:pPr>
              <w:pStyle w:val="Lijstalinea"/>
              <w:spacing w:line="276" w:lineRule="auto"/>
              <w:ind w:left="993" w:hanging="284"/>
              <w:rPr>
                <w:sz w:val="20"/>
                <w:szCs w:val="20"/>
              </w:rPr>
            </w:pPr>
            <w:r>
              <w:rPr>
                <w:sz w:val="20"/>
                <w:szCs w:val="20"/>
              </w:rPr>
              <w:lastRenderedPageBreak/>
              <w:t>-</w:t>
            </w:r>
            <w:r>
              <w:rPr>
                <w:rFonts w:ascii="Times New Roman" w:hAnsi="Times New Roman"/>
                <w:sz w:val="14"/>
                <w:szCs w:val="14"/>
              </w:rPr>
              <w:t xml:space="preserve">        </w:t>
            </w:r>
            <w:r>
              <w:rPr>
                <w:sz w:val="20"/>
                <w:szCs w:val="20"/>
              </w:rPr>
              <w:t xml:space="preserve">CFE </w:t>
            </w:r>
            <w:proofErr w:type="spellStart"/>
            <w:r>
              <w:rPr>
                <w:sz w:val="20"/>
                <w:szCs w:val="20"/>
              </w:rPr>
              <w:t>replies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questions</w:t>
            </w:r>
            <w:proofErr w:type="spellEnd"/>
            <w:r>
              <w:rPr>
                <w:sz w:val="20"/>
                <w:szCs w:val="20"/>
              </w:rPr>
              <w:t xml:space="preserve"> </w:t>
            </w:r>
            <w:proofErr w:type="spellStart"/>
            <w:r>
              <w:rPr>
                <w:sz w:val="20"/>
                <w:szCs w:val="20"/>
              </w:rPr>
              <w:t>by</w:t>
            </w:r>
            <w:proofErr w:type="spellEnd"/>
            <w:r>
              <w:rPr>
                <w:sz w:val="20"/>
                <w:szCs w:val="20"/>
              </w:rPr>
              <w:t xml:space="preserve"> TAXE members at the hearing of 16 April 2015: </w:t>
            </w:r>
            <w:hyperlink r:id="rId17" w:history="1">
              <w:r>
                <w:rPr>
                  <w:rStyle w:val="Hyperlink"/>
                  <w:sz w:val="20"/>
                  <w:szCs w:val="20"/>
                </w:rPr>
                <w:t>EN</w:t>
              </w:r>
            </w:hyperlink>
          </w:p>
          <w:p w:rsidR="002A3AC5" w:rsidRDefault="002A3AC5">
            <w:pPr>
              <w:pStyle w:val="Lijstalinea"/>
              <w:spacing w:line="276" w:lineRule="auto"/>
              <w:rPr>
                <w:b/>
                <w:bCs/>
                <w:sz w:val="20"/>
                <w:szCs w:val="20"/>
              </w:rPr>
            </w:pPr>
          </w:p>
          <w:p w:rsidR="002A3AC5" w:rsidRDefault="002A3AC5">
            <w:pPr>
              <w:pStyle w:val="Lijstalinea"/>
              <w:spacing w:line="276" w:lineRule="auto"/>
              <w:ind w:hanging="360"/>
              <w:rPr>
                <w:b/>
                <w:bCs/>
                <w:sz w:val="20"/>
                <w:szCs w:val="20"/>
              </w:rPr>
            </w:pPr>
            <w:r>
              <w:rPr>
                <w:b/>
                <w:bCs/>
                <w:sz w:val="20"/>
                <w:szCs w:val="20"/>
              </w:rPr>
              <w:t>7.</w:t>
            </w:r>
            <w:r>
              <w:rPr>
                <w:rFonts w:ascii="Times New Roman" w:hAnsi="Times New Roman"/>
                <w:b/>
                <w:bCs/>
                <w:sz w:val="14"/>
                <w:szCs w:val="14"/>
              </w:rPr>
              <w:t xml:space="preserve">       </w:t>
            </w:r>
            <w:proofErr w:type="spellStart"/>
            <w:r>
              <w:rPr>
                <w:b/>
                <w:bCs/>
                <w:sz w:val="20"/>
                <w:szCs w:val="20"/>
              </w:rPr>
              <w:t>Commission</w:t>
            </w:r>
            <w:proofErr w:type="spellEnd"/>
            <w:r>
              <w:rPr>
                <w:b/>
                <w:bCs/>
                <w:sz w:val="20"/>
                <w:szCs w:val="20"/>
              </w:rPr>
              <w:t xml:space="preserve"> </w:t>
            </w:r>
            <w:proofErr w:type="spellStart"/>
            <w:r>
              <w:rPr>
                <w:b/>
                <w:bCs/>
                <w:sz w:val="20"/>
                <w:szCs w:val="20"/>
              </w:rPr>
              <w:t>publishes</w:t>
            </w:r>
            <w:proofErr w:type="spellEnd"/>
            <w:r>
              <w:rPr>
                <w:b/>
                <w:bCs/>
                <w:sz w:val="20"/>
                <w:szCs w:val="20"/>
              </w:rPr>
              <w:t xml:space="preserve"> </w:t>
            </w:r>
            <w:proofErr w:type="spellStart"/>
            <w:r>
              <w:rPr>
                <w:b/>
                <w:bCs/>
                <w:sz w:val="20"/>
                <w:szCs w:val="20"/>
              </w:rPr>
              <w:t>study</w:t>
            </w:r>
            <w:proofErr w:type="spellEnd"/>
            <w:r>
              <w:rPr>
                <w:b/>
                <w:bCs/>
                <w:sz w:val="20"/>
                <w:szCs w:val="20"/>
              </w:rPr>
              <w:t xml:space="preserve"> on intra-EU 2B2 </w:t>
            </w:r>
            <w:proofErr w:type="spellStart"/>
            <w:r>
              <w:rPr>
                <w:b/>
                <w:bCs/>
                <w:sz w:val="20"/>
                <w:szCs w:val="20"/>
              </w:rPr>
              <w:t>supply</w:t>
            </w:r>
            <w:proofErr w:type="spellEnd"/>
            <w:r>
              <w:rPr>
                <w:b/>
                <w:bCs/>
                <w:sz w:val="20"/>
                <w:szCs w:val="20"/>
              </w:rPr>
              <w:t xml:space="preserve"> of </w:t>
            </w:r>
            <w:proofErr w:type="spellStart"/>
            <w:r>
              <w:rPr>
                <w:b/>
                <w:bCs/>
                <w:sz w:val="20"/>
                <w:szCs w:val="20"/>
              </w:rPr>
              <w:t>goods</w:t>
            </w:r>
            <w:proofErr w:type="spellEnd"/>
          </w:p>
          <w:p w:rsidR="002A3AC5" w:rsidRDefault="002A3AC5">
            <w:pPr>
              <w:pStyle w:val="Lijstalinea"/>
              <w:spacing w:line="276" w:lineRule="auto"/>
              <w:rPr>
                <w:sz w:val="20"/>
                <w:szCs w:val="20"/>
              </w:rPr>
            </w:pPr>
          </w:p>
          <w:p w:rsidR="002A3AC5" w:rsidRDefault="002A3AC5">
            <w:pPr>
              <w:pStyle w:val="Lijstalinea"/>
              <w:spacing w:line="276" w:lineRule="auto"/>
              <w:ind w:left="708"/>
              <w:rPr>
                <w:sz w:val="20"/>
                <w:szCs w:val="20"/>
              </w:rPr>
            </w:pPr>
            <w:r>
              <w:rPr>
                <w:sz w:val="20"/>
                <w:szCs w:val="20"/>
              </w:rPr>
              <w:t xml:space="preserve">On 13 </w:t>
            </w:r>
            <w:proofErr w:type="spellStart"/>
            <w:r>
              <w:rPr>
                <w:sz w:val="20"/>
                <w:szCs w:val="20"/>
              </w:rPr>
              <w:t>July</w:t>
            </w:r>
            <w:proofErr w:type="spellEnd"/>
            <w:r>
              <w:rPr>
                <w:sz w:val="20"/>
                <w:szCs w:val="20"/>
              </w:rPr>
              <w:t xml:space="preserve"> 2015, the </w:t>
            </w:r>
            <w:proofErr w:type="spellStart"/>
            <w:r>
              <w:rPr>
                <w:sz w:val="20"/>
                <w:szCs w:val="20"/>
              </w:rPr>
              <w:t>Commission</w:t>
            </w:r>
            <w:proofErr w:type="spellEnd"/>
            <w:r>
              <w:rPr>
                <w:sz w:val="20"/>
                <w:szCs w:val="20"/>
              </w:rPr>
              <w:t xml:space="preserve"> </w:t>
            </w:r>
            <w:proofErr w:type="spellStart"/>
            <w:r>
              <w:rPr>
                <w:sz w:val="20"/>
                <w:szCs w:val="20"/>
              </w:rPr>
              <w:t>published</w:t>
            </w:r>
            <w:proofErr w:type="spellEnd"/>
            <w:r>
              <w:rPr>
                <w:sz w:val="20"/>
                <w:szCs w:val="20"/>
              </w:rPr>
              <w:t xml:space="preserve"> a 230page </w:t>
            </w:r>
            <w:proofErr w:type="spellStart"/>
            <w:r>
              <w:rPr>
                <w:sz w:val="20"/>
                <w:szCs w:val="20"/>
              </w:rPr>
              <w:t>study</w:t>
            </w:r>
            <w:proofErr w:type="spellEnd"/>
            <w:r>
              <w:rPr>
                <w:sz w:val="20"/>
                <w:szCs w:val="20"/>
              </w:rPr>
              <w:t xml:space="preserve"> </w:t>
            </w:r>
            <w:proofErr w:type="spellStart"/>
            <w:r>
              <w:rPr>
                <w:sz w:val="20"/>
                <w:szCs w:val="20"/>
              </w:rPr>
              <w:t>analysing</w:t>
            </w:r>
            <w:proofErr w:type="spellEnd"/>
            <w:r>
              <w:rPr>
                <w:sz w:val="20"/>
                <w:szCs w:val="20"/>
              </w:rPr>
              <w:t xml:space="preserve"> five policy options </w:t>
            </w:r>
            <w:proofErr w:type="spellStart"/>
            <w:r>
              <w:rPr>
                <w:sz w:val="20"/>
                <w:szCs w:val="20"/>
              </w:rPr>
              <w:t>for</w:t>
            </w:r>
            <w:proofErr w:type="spellEnd"/>
            <w:r>
              <w:rPr>
                <w:sz w:val="20"/>
                <w:szCs w:val="20"/>
              </w:rPr>
              <w:t xml:space="preserve"> the </w:t>
            </w:r>
            <w:proofErr w:type="spellStart"/>
            <w:r>
              <w:rPr>
                <w:sz w:val="20"/>
                <w:szCs w:val="20"/>
              </w:rPr>
              <w:t>implementation</w:t>
            </w:r>
            <w:proofErr w:type="spellEnd"/>
            <w:r>
              <w:rPr>
                <w:sz w:val="20"/>
                <w:szCs w:val="20"/>
              </w:rPr>
              <w:t xml:space="preserve"> of a </w:t>
            </w:r>
            <w:proofErr w:type="spellStart"/>
            <w:r>
              <w:rPr>
                <w:sz w:val="20"/>
                <w:szCs w:val="20"/>
              </w:rPr>
              <w:t>destination-based</w:t>
            </w:r>
            <w:proofErr w:type="spellEnd"/>
            <w:r>
              <w:rPr>
                <w:sz w:val="20"/>
                <w:szCs w:val="20"/>
              </w:rPr>
              <w:t xml:space="preserve"> VAT system </w:t>
            </w:r>
            <w:proofErr w:type="spellStart"/>
            <w:r>
              <w:rPr>
                <w:sz w:val="20"/>
                <w:szCs w:val="20"/>
              </w:rPr>
              <w:t>across</w:t>
            </w:r>
            <w:proofErr w:type="spellEnd"/>
            <w:r>
              <w:rPr>
                <w:sz w:val="20"/>
                <w:szCs w:val="20"/>
              </w:rPr>
              <w:t xml:space="preserve"> the EU, </w:t>
            </w:r>
            <w:proofErr w:type="spellStart"/>
            <w:r>
              <w:rPr>
                <w:sz w:val="20"/>
                <w:szCs w:val="20"/>
              </w:rPr>
              <w:t>focusing</w:t>
            </w:r>
            <w:proofErr w:type="spellEnd"/>
            <w:r>
              <w:rPr>
                <w:sz w:val="20"/>
                <w:szCs w:val="20"/>
              </w:rPr>
              <w:t xml:space="preserve"> on the </w:t>
            </w:r>
            <w:proofErr w:type="spellStart"/>
            <w:r>
              <w:rPr>
                <w:sz w:val="20"/>
                <w:szCs w:val="20"/>
              </w:rPr>
              <w:t>additional</w:t>
            </w:r>
            <w:proofErr w:type="spellEnd"/>
            <w:r>
              <w:rPr>
                <w:sz w:val="20"/>
                <w:szCs w:val="20"/>
              </w:rPr>
              <w:t xml:space="preserve"> compliance </w:t>
            </w:r>
            <w:proofErr w:type="spellStart"/>
            <w:r>
              <w:rPr>
                <w:sz w:val="20"/>
                <w:szCs w:val="20"/>
              </w:rPr>
              <w:t>costs</w:t>
            </w:r>
            <w:proofErr w:type="spellEnd"/>
            <w:r>
              <w:rPr>
                <w:sz w:val="20"/>
                <w:szCs w:val="20"/>
              </w:rPr>
              <w:t xml:space="preserve"> of </w:t>
            </w:r>
            <w:proofErr w:type="spellStart"/>
            <w:r>
              <w:rPr>
                <w:sz w:val="20"/>
                <w:szCs w:val="20"/>
              </w:rPr>
              <w:t>businesses</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trade</w:t>
            </w:r>
            <w:proofErr w:type="spellEnd"/>
            <w:r>
              <w:rPr>
                <w:sz w:val="20"/>
                <w:szCs w:val="20"/>
              </w:rPr>
              <w:t xml:space="preserve"> cross-border </w:t>
            </w:r>
            <w:proofErr w:type="spellStart"/>
            <w:r>
              <w:rPr>
                <w:sz w:val="20"/>
                <w:szCs w:val="20"/>
              </w:rPr>
              <w:t>and</w:t>
            </w:r>
            <w:proofErr w:type="spellEnd"/>
            <w:r>
              <w:rPr>
                <w:sz w:val="20"/>
                <w:szCs w:val="20"/>
              </w:rPr>
              <w:t xml:space="preserve"> on VAT </w:t>
            </w:r>
            <w:proofErr w:type="spellStart"/>
            <w:r>
              <w:rPr>
                <w:sz w:val="20"/>
                <w:szCs w:val="20"/>
              </w:rPr>
              <w:t>fraud</w:t>
            </w:r>
            <w:proofErr w:type="spellEnd"/>
            <w:r>
              <w:rPr>
                <w:sz w:val="20"/>
                <w:szCs w:val="20"/>
              </w:rPr>
              <w:t>.</w:t>
            </w:r>
          </w:p>
          <w:p w:rsidR="002A3AC5" w:rsidRDefault="002A3AC5">
            <w:pPr>
              <w:pStyle w:val="Lijstalinea"/>
              <w:spacing w:line="276" w:lineRule="auto"/>
              <w:rPr>
                <w:sz w:val="20"/>
                <w:szCs w:val="20"/>
              </w:rPr>
            </w:pPr>
          </w:p>
          <w:p w:rsidR="002A3AC5" w:rsidRDefault="002A3AC5">
            <w:pPr>
              <w:pStyle w:val="Lijstalinea"/>
              <w:spacing w:line="276" w:lineRule="auto"/>
              <w:ind w:left="1134" w:hanging="425"/>
              <w:rPr>
                <w:sz w:val="20"/>
                <w:szCs w:val="20"/>
              </w:rPr>
            </w:pPr>
            <w:r>
              <w:rPr>
                <w:sz w:val="20"/>
                <w:szCs w:val="20"/>
              </w:rPr>
              <w:t>-</w:t>
            </w:r>
            <w:r>
              <w:rPr>
                <w:rFonts w:ascii="Times New Roman" w:hAnsi="Times New Roman"/>
                <w:sz w:val="14"/>
                <w:szCs w:val="14"/>
              </w:rPr>
              <w:t xml:space="preserve">            </w:t>
            </w:r>
            <w:proofErr w:type="spellStart"/>
            <w:r>
              <w:rPr>
                <w:sz w:val="20"/>
                <w:szCs w:val="20"/>
              </w:rPr>
              <w:t>Study</w:t>
            </w:r>
            <w:proofErr w:type="spellEnd"/>
            <w:r>
              <w:rPr>
                <w:sz w:val="20"/>
                <w:szCs w:val="20"/>
              </w:rPr>
              <w:t xml:space="preserve">: </w:t>
            </w:r>
            <w:hyperlink r:id="rId18" w:history="1">
              <w:r>
                <w:rPr>
                  <w:rStyle w:val="Hyperlink"/>
                  <w:sz w:val="20"/>
                  <w:szCs w:val="20"/>
                </w:rPr>
                <w:t>EN</w:t>
              </w:r>
            </w:hyperlink>
          </w:p>
          <w:p w:rsidR="002A3AC5" w:rsidRDefault="002A3AC5">
            <w:pPr>
              <w:pStyle w:val="Lijstalinea"/>
              <w:spacing w:line="276" w:lineRule="auto"/>
              <w:ind w:left="1134"/>
              <w:rPr>
                <w:sz w:val="20"/>
                <w:szCs w:val="20"/>
              </w:rPr>
            </w:pPr>
          </w:p>
          <w:p w:rsidR="002A3AC5" w:rsidRDefault="002A3AC5">
            <w:pPr>
              <w:spacing w:line="276" w:lineRule="auto"/>
              <w:jc w:val="center"/>
              <w:rPr>
                <w:sz w:val="20"/>
                <w:szCs w:val="20"/>
              </w:rPr>
            </w:pPr>
            <w:r>
              <w:rPr>
                <w:sz w:val="20"/>
                <w:szCs w:val="20"/>
              </w:rPr>
              <w:t>*****</w:t>
            </w:r>
          </w:p>
          <w:p w:rsidR="002A3AC5" w:rsidRDefault="002A3AC5">
            <w:pPr>
              <w:spacing w:line="276" w:lineRule="auto"/>
              <w:jc w:val="both"/>
              <w:rPr>
                <w:sz w:val="20"/>
                <w:szCs w:val="20"/>
              </w:rPr>
            </w:pPr>
          </w:p>
          <w:p w:rsidR="002A3AC5" w:rsidRDefault="002A3AC5">
            <w:pPr>
              <w:spacing w:line="276" w:lineRule="auto"/>
              <w:ind w:left="126"/>
              <w:jc w:val="center"/>
              <w:rPr>
                <w:i/>
                <w:iCs/>
                <w:sz w:val="20"/>
                <w:szCs w:val="20"/>
              </w:rPr>
            </w:pPr>
            <w:r>
              <w:rPr>
                <w:i/>
                <w:iCs/>
                <w:sz w:val="20"/>
                <w:szCs w:val="20"/>
              </w:rPr>
              <w:t xml:space="preserve">The </w:t>
            </w:r>
            <w:proofErr w:type="spellStart"/>
            <w:r>
              <w:rPr>
                <w:i/>
                <w:iCs/>
                <w:sz w:val="20"/>
                <w:szCs w:val="20"/>
              </w:rPr>
              <w:t>selection</w:t>
            </w:r>
            <w:proofErr w:type="spellEnd"/>
            <w:r>
              <w:rPr>
                <w:i/>
                <w:iCs/>
                <w:sz w:val="20"/>
                <w:szCs w:val="20"/>
              </w:rPr>
              <w:t xml:space="preserve"> of the </w:t>
            </w:r>
            <w:proofErr w:type="spellStart"/>
            <w:r>
              <w:rPr>
                <w:i/>
                <w:iCs/>
                <w:sz w:val="20"/>
                <w:szCs w:val="20"/>
              </w:rPr>
              <w:t>remitted</w:t>
            </w:r>
            <w:proofErr w:type="spellEnd"/>
            <w:r>
              <w:rPr>
                <w:i/>
                <w:iCs/>
                <w:sz w:val="20"/>
                <w:szCs w:val="20"/>
              </w:rPr>
              <w:t xml:space="preserve"> </w:t>
            </w:r>
            <w:proofErr w:type="spellStart"/>
            <w:r>
              <w:rPr>
                <w:i/>
                <w:iCs/>
                <w:sz w:val="20"/>
                <w:szCs w:val="20"/>
              </w:rPr>
              <w:t>material</w:t>
            </w:r>
            <w:proofErr w:type="spellEnd"/>
            <w:r>
              <w:rPr>
                <w:i/>
                <w:iCs/>
                <w:sz w:val="20"/>
                <w:szCs w:val="20"/>
              </w:rPr>
              <w:t xml:space="preserve"> has been </w:t>
            </w:r>
            <w:proofErr w:type="spellStart"/>
            <w:r>
              <w:rPr>
                <w:i/>
                <w:iCs/>
                <w:sz w:val="20"/>
                <w:szCs w:val="20"/>
              </w:rPr>
              <w:t>prepared</w:t>
            </w:r>
            <w:proofErr w:type="spellEnd"/>
            <w:r>
              <w:rPr>
                <w:i/>
                <w:iCs/>
                <w:sz w:val="20"/>
                <w:szCs w:val="20"/>
              </w:rPr>
              <w:t xml:space="preserve"> </w:t>
            </w:r>
            <w:proofErr w:type="spellStart"/>
            <w:r>
              <w:rPr>
                <w:i/>
                <w:iCs/>
                <w:sz w:val="20"/>
                <w:szCs w:val="20"/>
              </w:rPr>
              <w:t>by</w:t>
            </w:r>
            <w:proofErr w:type="spellEnd"/>
            <w:r>
              <w:rPr>
                <w:i/>
                <w:iCs/>
                <w:sz w:val="20"/>
                <w:szCs w:val="20"/>
              </w:rPr>
              <w:t xml:space="preserve"> </w:t>
            </w:r>
            <w:proofErr w:type="spellStart"/>
            <w:r>
              <w:rPr>
                <w:i/>
                <w:iCs/>
                <w:sz w:val="20"/>
                <w:szCs w:val="20"/>
              </w:rPr>
              <w:t>Piergiorgio</w:t>
            </w:r>
            <w:proofErr w:type="spellEnd"/>
            <w:r>
              <w:rPr>
                <w:i/>
                <w:iCs/>
                <w:sz w:val="20"/>
                <w:szCs w:val="20"/>
              </w:rPr>
              <w:t xml:space="preserve"> </w:t>
            </w:r>
            <w:proofErr w:type="spellStart"/>
            <w:r>
              <w:rPr>
                <w:i/>
                <w:iCs/>
                <w:sz w:val="20"/>
                <w:szCs w:val="20"/>
              </w:rPr>
              <w:t>Valente</w:t>
            </w:r>
            <w:proofErr w:type="spellEnd"/>
            <w:r>
              <w:rPr>
                <w:i/>
                <w:iCs/>
                <w:sz w:val="20"/>
                <w:szCs w:val="20"/>
              </w:rPr>
              <w:t xml:space="preserve"> / </w:t>
            </w:r>
            <w:proofErr w:type="spellStart"/>
            <w:r>
              <w:rPr>
                <w:i/>
                <w:iCs/>
                <w:sz w:val="20"/>
                <w:szCs w:val="20"/>
              </w:rPr>
              <w:t>Filipa</w:t>
            </w:r>
            <w:proofErr w:type="spellEnd"/>
            <w:r>
              <w:rPr>
                <w:i/>
                <w:iCs/>
                <w:sz w:val="20"/>
                <w:szCs w:val="20"/>
              </w:rPr>
              <w:t xml:space="preserve"> </w:t>
            </w:r>
            <w:proofErr w:type="spellStart"/>
            <w:r>
              <w:rPr>
                <w:i/>
                <w:iCs/>
                <w:sz w:val="20"/>
                <w:szCs w:val="20"/>
              </w:rPr>
              <w:t>Correia</w:t>
            </w:r>
            <w:proofErr w:type="spellEnd"/>
            <w:r>
              <w:rPr>
                <w:i/>
                <w:iCs/>
                <w:sz w:val="20"/>
                <w:szCs w:val="20"/>
              </w:rPr>
              <w:t xml:space="preserve"> / Rudolf </w:t>
            </w:r>
            <w:proofErr w:type="spellStart"/>
            <w:r>
              <w:rPr>
                <w:i/>
                <w:iCs/>
                <w:sz w:val="20"/>
                <w:szCs w:val="20"/>
              </w:rPr>
              <w:t>Reibel</w:t>
            </w:r>
            <w:proofErr w:type="spellEnd"/>
          </w:p>
          <w:p w:rsidR="002A3AC5" w:rsidRDefault="002A3AC5">
            <w:pPr>
              <w:spacing w:line="276" w:lineRule="auto"/>
              <w:ind w:left="126"/>
              <w:jc w:val="center"/>
              <w:rPr>
                <w:lang w:val="en-US" w:eastAsia="fr-BE"/>
              </w:rPr>
            </w:pPr>
            <w:r>
              <w:rPr>
                <w:i/>
                <w:iCs/>
                <w:sz w:val="20"/>
                <w:szCs w:val="20"/>
                <w:lang w:val="en-US"/>
              </w:rPr>
              <w:t>Follow us on</w:t>
            </w:r>
            <w:r>
              <w:rPr>
                <w:i/>
                <w:iCs/>
                <w:color w:val="FF0000"/>
                <w:sz w:val="20"/>
                <w:szCs w:val="20"/>
                <w:lang w:val="en-US"/>
              </w:rPr>
              <w:t xml:space="preserve"> </w:t>
            </w:r>
            <w:hyperlink r:id="rId19" w:history="1">
              <w:r>
                <w:rPr>
                  <w:rStyle w:val="Hyperlink"/>
                  <w:sz w:val="20"/>
                  <w:szCs w:val="20"/>
                  <w:lang w:val="en-US"/>
                </w:rPr>
                <w:t>Linked in</w:t>
              </w:r>
            </w:hyperlink>
            <w:r>
              <w:rPr>
                <w:sz w:val="20"/>
                <w:szCs w:val="20"/>
              </w:rPr>
              <w:t xml:space="preserve"> </w:t>
            </w:r>
            <w:r>
              <w:rPr>
                <w:noProof/>
                <w:sz w:val="20"/>
                <w:szCs w:val="20"/>
                <w:lang w:eastAsia="nl-NL"/>
              </w:rPr>
              <w:drawing>
                <wp:inline distT="0" distB="0" distL="0" distR="0">
                  <wp:extent cx="200025" cy="190500"/>
                  <wp:effectExtent l="0" t="0" r="9525" b="0"/>
                  <wp:docPr id="1" name="Afbeelding 1" descr="cid:image002.png@01D05A62.500B7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5A62.500B7F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rPr>
              <w:t> </w:t>
            </w:r>
          </w:p>
        </w:tc>
      </w:tr>
      <w:tr w:rsidR="002A3AC5" w:rsidTr="002A3AC5">
        <w:trPr>
          <w:trHeight w:val="20"/>
          <w:tblCellSpacing w:w="0" w:type="dxa"/>
        </w:trPr>
        <w:tc>
          <w:tcPr>
            <w:tcW w:w="9702" w:type="dxa"/>
            <w:tcBorders>
              <w:top w:val="nil"/>
              <w:left w:val="nil"/>
              <w:bottom w:val="nil"/>
              <w:right w:val="nil"/>
            </w:tcBorders>
            <w:tcMar>
              <w:top w:w="375" w:type="dxa"/>
              <w:left w:w="300" w:type="dxa"/>
              <w:bottom w:w="300" w:type="dxa"/>
              <w:right w:w="300" w:type="dxa"/>
            </w:tcMar>
            <w:vAlign w:val="center"/>
          </w:tcPr>
          <w:p w:rsidR="002A3AC5" w:rsidRDefault="002A3AC5">
            <w:pPr>
              <w:spacing w:line="276" w:lineRule="auto"/>
              <w:jc w:val="both"/>
              <w:rPr>
                <w:sz w:val="2"/>
                <w:szCs w:val="20"/>
                <w:lang w:val="en-US" w:eastAsia="fr-BE"/>
              </w:rPr>
            </w:pPr>
          </w:p>
        </w:tc>
      </w:tr>
    </w:tbl>
    <w:p w:rsidR="002A3AC5" w:rsidRDefault="002A3AC5" w:rsidP="002A3AC5">
      <w:pPr>
        <w:rPr>
          <w:color w:val="1F497D"/>
          <w:lang w:val="en-GB"/>
        </w:rPr>
      </w:pPr>
    </w:p>
    <w:p w:rsidR="00667086" w:rsidRDefault="00667086">
      <w:bookmarkStart w:id="0" w:name="_GoBack"/>
      <w:bookmarkEnd w:id="0"/>
    </w:p>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C5"/>
    <w:rsid w:val="002A3AC5"/>
    <w:rsid w:val="00667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3AC5"/>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A3AC5"/>
    <w:rPr>
      <w:color w:val="0000FF"/>
      <w:u w:val="single"/>
    </w:rPr>
  </w:style>
  <w:style w:type="paragraph" w:styleId="Lijstalinea">
    <w:name w:val="List Paragraph"/>
    <w:basedOn w:val="Standaard"/>
    <w:uiPriority w:val="34"/>
    <w:qFormat/>
    <w:rsid w:val="002A3AC5"/>
    <w:pPr>
      <w:ind w:left="720"/>
    </w:pPr>
    <w:rPr>
      <w:lang w:eastAsia="fr-BE"/>
    </w:rPr>
  </w:style>
  <w:style w:type="paragraph" w:styleId="Ballontekst">
    <w:name w:val="Balloon Text"/>
    <w:basedOn w:val="Standaard"/>
    <w:link w:val="BallontekstChar"/>
    <w:uiPriority w:val="99"/>
    <w:semiHidden/>
    <w:unhideWhenUsed/>
    <w:rsid w:val="002A3AC5"/>
    <w:rPr>
      <w:rFonts w:ascii="Tahoma" w:hAnsi="Tahoma" w:cs="Tahoma"/>
      <w:sz w:val="16"/>
      <w:szCs w:val="16"/>
    </w:rPr>
  </w:style>
  <w:style w:type="character" w:customStyle="1" w:styleId="BallontekstChar">
    <w:name w:val="Ballontekst Char"/>
    <w:basedOn w:val="Standaardalinea-lettertype"/>
    <w:link w:val="Ballontekst"/>
    <w:uiPriority w:val="99"/>
    <w:semiHidden/>
    <w:rsid w:val="002A3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3AC5"/>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A3AC5"/>
    <w:rPr>
      <w:color w:val="0000FF"/>
      <w:u w:val="single"/>
    </w:rPr>
  </w:style>
  <w:style w:type="paragraph" w:styleId="Lijstalinea">
    <w:name w:val="List Paragraph"/>
    <w:basedOn w:val="Standaard"/>
    <w:uiPriority w:val="34"/>
    <w:qFormat/>
    <w:rsid w:val="002A3AC5"/>
    <w:pPr>
      <w:ind w:left="720"/>
    </w:pPr>
    <w:rPr>
      <w:lang w:eastAsia="fr-BE"/>
    </w:rPr>
  </w:style>
  <w:style w:type="paragraph" w:styleId="Ballontekst">
    <w:name w:val="Balloon Text"/>
    <w:basedOn w:val="Standaard"/>
    <w:link w:val="BallontekstChar"/>
    <w:uiPriority w:val="99"/>
    <w:semiHidden/>
    <w:unhideWhenUsed/>
    <w:rsid w:val="002A3AC5"/>
    <w:rPr>
      <w:rFonts w:ascii="Tahoma" w:hAnsi="Tahoma" w:cs="Tahoma"/>
      <w:sz w:val="16"/>
      <w:szCs w:val="16"/>
    </w:rPr>
  </w:style>
  <w:style w:type="character" w:customStyle="1" w:styleId="BallontekstChar">
    <w:name w:val="Ballontekst Char"/>
    <w:basedOn w:val="Standaardalinea-lettertype"/>
    <w:link w:val="Ballontekst"/>
    <w:uiPriority w:val="99"/>
    <w:semiHidden/>
    <w:rsid w:val="002A3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taxation_customs/resources/documents/taxation/vat/key_documents/eu_vat_forum/vat-forum_membres_en.pdf" TargetMode="External"/><Relationship Id="rId13" Type="http://schemas.openxmlformats.org/officeDocument/2006/relationships/hyperlink" Target="http://ec.europa.eu/taxation_customs/taxation/gen_info/good_governance_matters/platform/index_en.htm" TargetMode="External"/><Relationship Id="rId18" Type="http://schemas.openxmlformats.org/officeDocument/2006/relationships/hyperlink" Target="http://ec.europa.eu/taxation_customs/resources/documents/common/publications/studies/ey_study_destination_principle.pdf" TargetMode="External"/><Relationship Id="rId3" Type="http://schemas.openxmlformats.org/officeDocument/2006/relationships/settings" Target="settings.xml"/><Relationship Id="rId21" Type="http://schemas.openxmlformats.org/officeDocument/2006/relationships/image" Target="cid:image002.png@01D05A62.500B7F50" TargetMode="External"/><Relationship Id="rId7" Type="http://schemas.openxmlformats.org/officeDocument/2006/relationships/hyperlink" Target="http://ec.europa.eu/taxation_customs/taxation/vat/key_documents/eu_vat_forum/index_en.htm" TargetMode="External"/><Relationship Id="rId12" Type="http://schemas.openxmlformats.org/officeDocument/2006/relationships/hyperlink" Target="http://ec.europa.eu/taxation_customs/resources/documents/taxation/company_tax/fairer_corporate_taxation/platform_xx.pdf" TargetMode="External"/><Relationship Id="rId17" Type="http://schemas.openxmlformats.org/officeDocument/2006/relationships/hyperlink" Target="https://polcms.secure.europarl.europa.eu/cmsdata/upload/45a863c2-992e-4f64-a181-9eb2327c0381/European%20Federation%20of%20Tax%20Advisers%20-%20written%20replies%20to%20MEPs.pdf" TargetMode="External"/><Relationship Id="rId2" Type="http://schemas.microsoft.com/office/2007/relationships/stylesWithEffects" Target="stylesWithEffects.xml"/><Relationship Id="rId16" Type="http://schemas.openxmlformats.org/officeDocument/2006/relationships/hyperlink" Target="http://www.europarl.europa.eu/oeil/popups/ficheprocedure.do?lang=&amp;reference=2015/2066%28INI%29"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image" Target="cid:image001.jpg@01D0C4A6.068689C0" TargetMode="External"/><Relationship Id="rId11" Type="http://schemas.openxmlformats.org/officeDocument/2006/relationships/hyperlink" Target="http://www.europarl.europa.eu/sides/getDoc.do?pubRef=-//EP//TEXT+TA+P8-TA-2015-0257+0+DOC+XML+V0//EN" TargetMode="External"/><Relationship Id="rId5" Type="http://schemas.openxmlformats.org/officeDocument/2006/relationships/image" Target="media/image1.jpeg"/><Relationship Id="rId15" Type="http://schemas.openxmlformats.org/officeDocument/2006/relationships/hyperlink" Target="http://www.europarl.europa.eu/committees/en/taxe/home.html" TargetMode="External"/><Relationship Id="rId23" Type="http://schemas.openxmlformats.org/officeDocument/2006/relationships/theme" Target="theme/theme1.xml"/><Relationship Id="rId10" Type="http://schemas.openxmlformats.org/officeDocument/2006/relationships/hyperlink" Target="http://curia.europa.eu/juris/document/document.jsf?text=&amp;docid=165926&amp;pageIndex=0&amp;doclang=FR&amp;mode=lst&amp;dir=&amp;occ=first&amp;part=1&amp;cid=530204" TargetMode="External"/><Relationship Id="rId19" Type="http://schemas.openxmlformats.org/officeDocument/2006/relationships/hyperlink" Target="http://www.linkedin.com/company/confederation-fiscal-europeene?trk=company_name" TargetMode="External"/><Relationship Id="rId4" Type="http://schemas.openxmlformats.org/officeDocument/2006/relationships/webSettings" Target="webSettings.xml"/><Relationship Id="rId9" Type="http://schemas.openxmlformats.org/officeDocument/2006/relationships/hyperlink" Target="http://europa.eu/rapid/press-release_MEMO-15-5356_en.htm" TargetMode="External"/><Relationship Id="rId14" Type="http://schemas.openxmlformats.org/officeDocument/2006/relationships/hyperlink" Target="http://www.oecd.org/tax/transparency/eucommissionsannouncementonnon-cooperativejurisdictionslettertoglobalforummembers.htm"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3CD7A9D2</Template>
  <TotalTime>1</TotalTime>
  <Pages>3</Pages>
  <Words>1224</Words>
  <Characters>6738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2015-08-03T10:43:00Z</dcterms:created>
  <dcterms:modified xsi:type="dcterms:W3CDTF">2015-08-03T10:44:00Z</dcterms:modified>
</cp:coreProperties>
</file>