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3A" w:rsidRDefault="0076393A" w:rsidP="0076393A">
      <w:pPr>
        <w:rPr>
          <w:color w:val="1F497D"/>
          <w:lang w:val="en-US"/>
        </w:rPr>
      </w:pPr>
    </w:p>
    <w:tbl>
      <w:tblPr>
        <w:tblW w:w="970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76393A" w:rsidTr="0076393A">
        <w:trPr>
          <w:trHeight w:val="1924"/>
          <w:tblCellSpacing w:w="0" w:type="dxa"/>
        </w:trPr>
        <w:tc>
          <w:tcPr>
            <w:tcW w:w="970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76393A">
              <w:trPr>
                <w:trHeight w:val="76"/>
                <w:tblCellSpacing w:w="0" w:type="dxa"/>
              </w:trPr>
              <w:tc>
                <w:tcPr>
                  <w:tcW w:w="9094" w:type="dxa"/>
                  <w:vAlign w:val="center"/>
                  <w:hideMark/>
                </w:tcPr>
                <w:p w:rsidR="0076393A" w:rsidRDefault="0076393A">
                  <w:pPr>
                    <w:spacing w:line="76" w:lineRule="atLeast"/>
                    <w:jc w:val="both"/>
                    <w:rPr>
                      <w:sz w:val="20"/>
                      <w:szCs w:val="20"/>
                    </w:rPr>
                  </w:pPr>
                  <w:r>
                    <w:rPr>
                      <w:noProof/>
                      <w:sz w:val="20"/>
                      <w:szCs w:val="20"/>
                      <w:lang w:eastAsia="nl-NL"/>
                    </w:rPr>
                    <w:drawing>
                      <wp:inline distT="0" distB="0" distL="0" distR="0">
                        <wp:extent cx="5762625" cy="666750"/>
                        <wp:effectExtent l="0" t="0" r="9525" b="0"/>
                        <wp:docPr id="2" name="Afbeelding 2" descr="cid:image001.jpg@01D0A778.DE46F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A778.DE46F2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76393A" w:rsidRDefault="0076393A">
                  <w:pPr>
                    <w:spacing w:line="276" w:lineRule="auto"/>
                    <w:jc w:val="both"/>
                    <w:rPr>
                      <w:color w:val="ACABAB"/>
                      <w:sz w:val="20"/>
                      <w:szCs w:val="20"/>
                    </w:rPr>
                  </w:pPr>
                </w:p>
                <w:p w:rsidR="0076393A" w:rsidRDefault="0076393A">
                  <w:pPr>
                    <w:spacing w:line="76" w:lineRule="atLeast"/>
                    <w:jc w:val="both"/>
                    <w:rPr>
                      <w:color w:val="ACABAB"/>
                      <w:sz w:val="20"/>
                      <w:szCs w:val="20"/>
                    </w:rPr>
                  </w:pPr>
                </w:p>
              </w:tc>
            </w:tr>
          </w:tbl>
          <w:p w:rsidR="0076393A" w:rsidRDefault="0076393A">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76393A" w:rsidRDefault="0076393A">
            <w:pPr>
              <w:shd w:val="clear" w:color="auto" w:fill="FEFEFE"/>
              <w:spacing w:line="276" w:lineRule="auto"/>
              <w:ind w:left="7371"/>
              <w:jc w:val="both"/>
              <w:rPr>
                <w:b/>
                <w:bCs/>
                <w:color w:val="000000"/>
                <w:sz w:val="20"/>
                <w:szCs w:val="20"/>
                <w:lang w:val="en"/>
              </w:rPr>
            </w:pPr>
            <w:r>
              <w:rPr>
                <w:b/>
                <w:bCs/>
                <w:color w:val="000000"/>
                <w:sz w:val="20"/>
                <w:szCs w:val="20"/>
                <w:lang w:val="en"/>
              </w:rPr>
              <w:t>15 June 2015</w:t>
            </w:r>
          </w:p>
          <w:p w:rsidR="0076393A" w:rsidRDefault="0076393A">
            <w:pPr>
              <w:pStyle w:val="Lijstalinea"/>
              <w:spacing w:line="276" w:lineRule="auto"/>
              <w:ind w:left="1068"/>
              <w:rPr>
                <w:sz w:val="20"/>
                <w:szCs w:val="20"/>
              </w:rPr>
            </w:pPr>
          </w:p>
          <w:p w:rsidR="0076393A" w:rsidRDefault="0076393A">
            <w:pPr>
              <w:pStyle w:val="Lijstalinea"/>
              <w:spacing w:line="276" w:lineRule="auto"/>
              <w:rPr>
                <w:b/>
                <w:bCs/>
                <w:sz w:val="20"/>
                <w:szCs w:val="20"/>
                <w:lang w:val="fr-BE"/>
              </w:rPr>
            </w:pPr>
          </w:p>
          <w:p w:rsidR="0076393A" w:rsidRDefault="0076393A">
            <w:pPr>
              <w:spacing w:line="276" w:lineRule="auto"/>
              <w:rPr>
                <w:sz w:val="20"/>
                <w:szCs w:val="20"/>
              </w:rPr>
            </w:pPr>
          </w:p>
          <w:p w:rsidR="0076393A" w:rsidRDefault="0076393A">
            <w:pPr>
              <w:pStyle w:val="Lijstalinea"/>
              <w:spacing w:line="276" w:lineRule="auto"/>
              <w:ind w:hanging="360"/>
              <w:rPr>
                <w:sz w:val="20"/>
                <w:szCs w:val="20"/>
              </w:rPr>
            </w:pPr>
            <w:r>
              <w:rPr>
                <w:b/>
                <w:bCs/>
                <w:sz w:val="20"/>
                <w:szCs w:val="20"/>
              </w:rPr>
              <w:t>1.</w:t>
            </w:r>
            <w:r>
              <w:rPr>
                <w:rFonts w:ascii="Times New Roman" w:hAnsi="Times New Roman"/>
                <w:b/>
                <w:bCs/>
                <w:sz w:val="14"/>
                <w:szCs w:val="14"/>
              </w:rPr>
              <w:t xml:space="preserve">       </w:t>
            </w:r>
            <w:r>
              <w:rPr>
                <w:b/>
                <w:bCs/>
                <w:sz w:val="20"/>
                <w:szCs w:val="20"/>
              </w:rPr>
              <w:t>Belgian “excess profits tax” rulings: Commission publishes letter</w:t>
            </w:r>
          </w:p>
          <w:p w:rsidR="0076393A" w:rsidRDefault="0076393A">
            <w:pPr>
              <w:pStyle w:val="Lijstalinea"/>
              <w:spacing w:line="276" w:lineRule="auto"/>
              <w:ind w:left="426"/>
              <w:rPr>
                <w:sz w:val="20"/>
                <w:szCs w:val="20"/>
              </w:rPr>
            </w:pPr>
          </w:p>
          <w:p w:rsidR="0076393A" w:rsidRDefault="0076393A">
            <w:pPr>
              <w:pStyle w:val="Lijstalinea"/>
              <w:spacing w:line="276" w:lineRule="auto"/>
              <w:ind w:left="426"/>
              <w:rPr>
                <w:sz w:val="20"/>
                <w:szCs w:val="20"/>
              </w:rPr>
            </w:pPr>
            <w:r>
              <w:rPr>
                <w:sz w:val="20"/>
                <w:szCs w:val="20"/>
                <w:lang w:val="en"/>
              </w:rPr>
              <w:t>The European Commission has released a non-confidential version of its letter sent to the Belgian government on 3 February 2015, announcing the opening of in-depth state aid investigations into the Belgian “excess profit tax” rulings practice which, according to the Commission, may have favoured foreign over domestic companies in violation of EU state aid rules, enabling 47 undertakings to exclude up to 87% of their Belgian profits from tax.</w:t>
            </w:r>
          </w:p>
          <w:p w:rsidR="0076393A" w:rsidRDefault="0076393A">
            <w:pPr>
              <w:pStyle w:val="Lijstalinea"/>
              <w:spacing w:line="276" w:lineRule="auto"/>
              <w:ind w:left="426"/>
              <w:rPr>
                <w:sz w:val="20"/>
                <w:szCs w:val="20"/>
              </w:rPr>
            </w:pPr>
          </w:p>
          <w:p w:rsidR="0076393A" w:rsidRDefault="0076393A">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Non-confidential version of the letter, </w:t>
            </w:r>
            <w:hyperlink r:id="rId7" w:history="1">
              <w:r>
                <w:rPr>
                  <w:rStyle w:val="Hyperlink"/>
                  <w:sz w:val="20"/>
                  <w:szCs w:val="20"/>
                </w:rPr>
                <w:t>EN</w:t>
              </w:r>
            </w:hyperlink>
            <w:r>
              <w:rPr>
                <w:sz w:val="20"/>
                <w:szCs w:val="20"/>
              </w:rPr>
              <w:t xml:space="preserve"> (All EU languages)</w:t>
            </w:r>
          </w:p>
          <w:p w:rsidR="0076393A" w:rsidRDefault="0076393A">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Case on Commission´s state aid website: </w:t>
            </w:r>
            <w:hyperlink r:id="rId8" w:history="1">
              <w:r>
                <w:rPr>
                  <w:rStyle w:val="Hyperlink"/>
                  <w:sz w:val="20"/>
                  <w:szCs w:val="20"/>
                </w:rPr>
                <w:t>EN</w:t>
              </w:r>
            </w:hyperlink>
          </w:p>
          <w:p w:rsidR="0076393A" w:rsidRDefault="0076393A">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Press release of 3 February 2015: </w:t>
            </w:r>
            <w:hyperlink r:id="rId9" w:history="1">
              <w:r>
                <w:rPr>
                  <w:rStyle w:val="Hyperlink"/>
                  <w:sz w:val="20"/>
                  <w:szCs w:val="20"/>
                </w:rPr>
                <w:t>EN</w:t>
              </w:r>
            </w:hyperlink>
            <w:r>
              <w:rPr>
                <w:sz w:val="20"/>
                <w:szCs w:val="20"/>
              </w:rPr>
              <w:t xml:space="preserve"> (DE FR NL available)</w:t>
            </w:r>
          </w:p>
          <w:p w:rsidR="0076393A" w:rsidRDefault="0076393A">
            <w:pPr>
              <w:pStyle w:val="Lijstalinea"/>
              <w:spacing w:line="276" w:lineRule="auto"/>
              <w:ind w:left="426"/>
              <w:rPr>
                <w:b/>
                <w:bCs/>
                <w:sz w:val="20"/>
                <w:szCs w:val="20"/>
              </w:rPr>
            </w:pPr>
          </w:p>
          <w:p w:rsidR="0076393A" w:rsidRDefault="0076393A">
            <w:pPr>
              <w:pStyle w:val="Lijstalinea"/>
              <w:spacing w:line="276" w:lineRule="auto"/>
              <w:ind w:left="426"/>
              <w:rPr>
                <w:b/>
                <w:bCs/>
                <w:sz w:val="20"/>
                <w:szCs w:val="20"/>
              </w:rPr>
            </w:pPr>
          </w:p>
          <w:p w:rsidR="0076393A" w:rsidRDefault="0076393A">
            <w:pPr>
              <w:pStyle w:val="Lijstalinea"/>
              <w:spacing w:line="276" w:lineRule="auto"/>
              <w:ind w:hanging="436"/>
              <w:rPr>
                <w:b/>
                <w:bCs/>
                <w:sz w:val="20"/>
                <w:szCs w:val="20"/>
              </w:rPr>
            </w:pPr>
            <w:r>
              <w:rPr>
                <w:b/>
                <w:bCs/>
                <w:sz w:val="20"/>
                <w:szCs w:val="20"/>
              </w:rPr>
              <w:t>2.</w:t>
            </w:r>
            <w:r>
              <w:rPr>
                <w:rFonts w:ascii="Times New Roman" w:hAnsi="Times New Roman"/>
                <w:b/>
                <w:bCs/>
                <w:sz w:val="14"/>
                <w:szCs w:val="14"/>
              </w:rPr>
              <w:t xml:space="preserve">         </w:t>
            </w:r>
            <w:r>
              <w:rPr>
                <w:b/>
                <w:bCs/>
                <w:sz w:val="20"/>
                <w:szCs w:val="20"/>
              </w:rPr>
              <w:t>CJEU accepts non-deductibility of currency losses from holdings in another member state</w:t>
            </w:r>
          </w:p>
          <w:p w:rsidR="0076393A" w:rsidRDefault="0076393A">
            <w:pPr>
              <w:pStyle w:val="Lijstalinea"/>
              <w:spacing w:line="276" w:lineRule="auto"/>
              <w:rPr>
                <w:sz w:val="20"/>
                <w:szCs w:val="20"/>
              </w:rPr>
            </w:pPr>
          </w:p>
          <w:p w:rsidR="0076393A" w:rsidRDefault="0076393A">
            <w:pPr>
              <w:pStyle w:val="Lijstalinea"/>
              <w:spacing w:line="276" w:lineRule="auto"/>
              <w:ind w:left="426"/>
              <w:rPr>
                <w:sz w:val="20"/>
                <w:szCs w:val="20"/>
              </w:rPr>
            </w:pPr>
            <w:r>
              <w:rPr>
                <w:sz w:val="20"/>
                <w:szCs w:val="20"/>
              </w:rPr>
              <w:t>On 10 June 2015, the EU Court of Justice (CJEU) decided in the Swedish preliminary ruling case C-686/13, X AB, that Swedish legislation does not have to provide for the possibility of a resident undertaking to deduct from its income tax base a currency loss inherent in a capital loss on its holdings for business purposes in a company resident in another member state, if by the same token, gains from such holdings, in Sweden or another member state, are not included in the tax base. The judgment confirms the opinion of Advocate-General Juliane Kokott.</w:t>
            </w:r>
          </w:p>
          <w:p w:rsidR="0076393A" w:rsidRDefault="0076393A">
            <w:pPr>
              <w:pStyle w:val="Lijstalinea"/>
              <w:spacing w:line="276" w:lineRule="auto"/>
              <w:ind w:left="426"/>
              <w:rPr>
                <w:sz w:val="20"/>
                <w:szCs w:val="20"/>
              </w:rPr>
            </w:pPr>
          </w:p>
          <w:p w:rsidR="0076393A" w:rsidRDefault="0076393A">
            <w:pPr>
              <w:pStyle w:val="Lijstalinea"/>
              <w:spacing w:line="276" w:lineRule="auto"/>
              <w:ind w:hanging="360"/>
              <w:rPr>
                <w:sz w:val="20"/>
                <w:szCs w:val="20"/>
                <w:lang w:val="fr-BE"/>
              </w:rPr>
            </w:pPr>
            <w:r>
              <w:rPr>
                <w:sz w:val="20"/>
                <w:szCs w:val="20"/>
                <w:lang w:val="fr-BE"/>
              </w:rPr>
              <w:t>-</w:t>
            </w:r>
            <w:r>
              <w:rPr>
                <w:rFonts w:ascii="Times New Roman" w:hAnsi="Times New Roman"/>
                <w:sz w:val="14"/>
                <w:szCs w:val="14"/>
                <w:lang w:val="fr-BE"/>
              </w:rPr>
              <w:t xml:space="preserve">          </w:t>
            </w:r>
            <w:r>
              <w:rPr>
                <w:sz w:val="20"/>
                <w:szCs w:val="20"/>
                <w:lang w:val="fr-BE"/>
              </w:rPr>
              <w:t xml:space="preserve">Judgment: </w:t>
            </w:r>
            <w:hyperlink r:id="rId10" w:history="1">
              <w:r>
                <w:rPr>
                  <w:rStyle w:val="Hyperlink"/>
                  <w:sz w:val="20"/>
                  <w:szCs w:val="20"/>
                  <w:lang w:val="fr-BE"/>
                </w:rPr>
                <w:t>EN</w:t>
              </w:r>
            </w:hyperlink>
            <w:r>
              <w:rPr>
                <w:sz w:val="20"/>
                <w:szCs w:val="20"/>
                <w:lang w:val="fr-BE"/>
              </w:rPr>
              <w:t xml:space="preserve"> (all EU languages)</w:t>
            </w:r>
          </w:p>
          <w:p w:rsidR="0076393A" w:rsidRDefault="0076393A">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rPr>
              <w:t xml:space="preserve">Opinion of Advocate-General Kokott, </w:t>
            </w:r>
            <w:hyperlink r:id="rId11" w:history="1">
              <w:r>
                <w:rPr>
                  <w:rStyle w:val="Hyperlink"/>
                  <w:sz w:val="20"/>
                  <w:szCs w:val="20"/>
                </w:rPr>
                <w:t>DE</w:t>
              </w:r>
            </w:hyperlink>
            <w:r>
              <w:rPr>
                <w:sz w:val="20"/>
                <w:szCs w:val="20"/>
              </w:rPr>
              <w:t xml:space="preserve"> (available in most EU languages, not EN)</w:t>
            </w:r>
          </w:p>
          <w:p w:rsidR="0076393A" w:rsidRDefault="0076393A">
            <w:pPr>
              <w:spacing w:line="276" w:lineRule="auto"/>
              <w:rPr>
                <w:sz w:val="20"/>
                <w:szCs w:val="20"/>
              </w:rPr>
            </w:pPr>
          </w:p>
          <w:p w:rsidR="0076393A" w:rsidRDefault="0076393A">
            <w:pPr>
              <w:spacing w:line="276" w:lineRule="auto"/>
              <w:rPr>
                <w:sz w:val="20"/>
                <w:szCs w:val="20"/>
              </w:rPr>
            </w:pPr>
          </w:p>
          <w:p w:rsidR="0076393A" w:rsidRDefault="0076393A">
            <w:pPr>
              <w:spacing w:line="276" w:lineRule="auto"/>
              <w:jc w:val="center"/>
              <w:rPr>
                <w:sz w:val="20"/>
                <w:szCs w:val="20"/>
              </w:rPr>
            </w:pPr>
            <w:r>
              <w:rPr>
                <w:sz w:val="20"/>
                <w:szCs w:val="20"/>
              </w:rPr>
              <w:t>*****</w:t>
            </w:r>
          </w:p>
          <w:p w:rsidR="0076393A" w:rsidRDefault="0076393A">
            <w:pPr>
              <w:spacing w:line="276" w:lineRule="auto"/>
              <w:jc w:val="both"/>
              <w:rPr>
                <w:sz w:val="20"/>
                <w:szCs w:val="20"/>
              </w:rPr>
            </w:pPr>
          </w:p>
          <w:p w:rsidR="0076393A" w:rsidRDefault="0076393A">
            <w:pPr>
              <w:spacing w:line="276" w:lineRule="auto"/>
              <w:ind w:left="126"/>
              <w:jc w:val="center"/>
              <w:rPr>
                <w:i/>
                <w:iCs/>
                <w:sz w:val="20"/>
                <w:szCs w:val="20"/>
              </w:rPr>
            </w:pPr>
            <w:r>
              <w:rPr>
                <w:i/>
                <w:iCs/>
                <w:sz w:val="20"/>
                <w:szCs w:val="20"/>
              </w:rPr>
              <w:t>The selection of the remitted material has been prepared by Piergiorgio Valente / Filipa Correia / Rudolf Reibel</w:t>
            </w:r>
          </w:p>
          <w:p w:rsidR="0076393A" w:rsidRDefault="0076393A">
            <w:pPr>
              <w:spacing w:line="276" w:lineRule="auto"/>
              <w:ind w:left="126"/>
              <w:jc w:val="center"/>
              <w:rPr>
                <w:i/>
                <w:iCs/>
                <w:sz w:val="20"/>
                <w:szCs w:val="20"/>
              </w:rPr>
            </w:pPr>
          </w:p>
          <w:p w:rsidR="0076393A" w:rsidRDefault="0076393A">
            <w:pPr>
              <w:spacing w:line="276" w:lineRule="auto"/>
              <w:ind w:left="126"/>
              <w:jc w:val="center"/>
              <w:rPr>
                <w:color w:val="0000FF"/>
                <w:u w:val="single"/>
                <w:lang w:eastAsia="fr-BE"/>
              </w:rPr>
            </w:pPr>
            <w:hyperlink r:id="rId12" w:history="1">
              <w:r>
                <w:rPr>
                  <w:rStyle w:val="Hyperlink"/>
                  <w:i/>
                  <w:iCs/>
                  <w:sz w:val="20"/>
                  <w:szCs w:val="20"/>
                </w:rPr>
                <w:t>www.cfe-eutax.org</w:t>
              </w:r>
            </w:hyperlink>
          </w:p>
          <w:p w:rsidR="0076393A" w:rsidRDefault="0076393A">
            <w:pPr>
              <w:spacing w:line="276" w:lineRule="auto"/>
              <w:ind w:left="126"/>
              <w:jc w:val="center"/>
              <w:rPr>
                <w:i/>
                <w:iCs/>
                <w:color w:val="0000FF"/>
                <w:sz w:val="20"/>
                <w:szCs w:val="20"/>
                <w:u w:val="single"/>
              </w:rPr>
            </w:pPr>
          </w:p>
          <w:p w:rsidR="0076393A" w:rsidRDefault="0076393A">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13" w:history="1">
              <w:r>
                <w:rPr>
                  <w:rStyle w:val="Hyperlink"/>
                  <w:sz w:val="20"/>
                  <w:szCs w:val="20"/>
                  <w:lang w:val="en-US"/>
                </w:rPr>
                <w:t>Linked in</w:t>
              </w:r>
            </w:hyperlink>
            <w:r>
              <w:rPr>
                <w:sz w:val="20"/>
                <w:szCs w:val="20"/>
              </w:rPr>
              <w:t xml:space="preserve"> </w:t>
            </w:r>
            <w:r>
              <w:rPr>
                <w:noProof/>
                <w:sz w:val="20"/>
                <w:szCs w:val="20"/>
                <w:lang w:eastAsia="nl-NL"/>
              </w:rPr>
              <w:drawing>
                <wp:inline distT="0" distB="0" distL="0" distR="0">
                  <wp:extent cx="200025" cy="190500"/>
                  <wp:effectExtent l="0" t="0" r="9525"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rPr>
              <w:t> </w:t>
            </w:r>
          </w:p>
        </w:tc>
      </w:tr>
      <w:tr w:rsidR="0076393A" w:rsidTr="0076393A">
        <w:trPr>
          <w:trHeight w:val="20"/>
          <w:tblCellSpacing w:w="0" w:type="dxa"/>
        </w:trPr>
        <w:tc>
          <w:tcPr>
            <w:tcW w:w="9702" w:type="dxa"/>
            <w:tcBorders>
              <w:top w:val="nil"/>
              <w:left w:val="nil"/>
              <w:bottom w:val="nil"/>
              <w:right w:val="nil"/>
            </w:tcBorders>
            <w:tcMar>
              <w:top w:w="375" w:type="dxa"/>
              <w:left w:w="300" w:type="dxa"/>
              <w:bottom w:w="300" w:type="dxa"/>
              <w:right w:w="300" w:type="dxa"/>
            </w:tcMar>
            <w:vAlign w:val="center"/>
          </w:tcPr>
          <w:p w:rsidR="0076393A" w:rsidRDefault="0076393A">
            <w:pPr>
              <w:spacing w:line="276" w:lineRule="auto"/>
              <w:jc w:val="both"/>
              <w:rPr>
                <w:sz w:val="2"/>
                <w:szCs w:val="20"/>
                <w:lang w:val="en-US" w:eastAsia="fr-BE"/>
              </w:rPr>
            </w:pPr>
          </w:p>
        </w:tc>
      </w:tr>
    </w:tbl>
    <w:p w:rsidR="0076393A" w:rsidRDefault="0076393A" w:rsidP="0076393A">
      <w:pPr>
        <w:rPr>
          <w:color w:val="1F497D"/>
          <w:lang w:val="en-GB"/>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3A"/>
    <w:rsid w:val="00667086"/>
    <w:rsid w:val="00763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393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393A"/>
    <w:rPr>
      <w:color w:val="0000FF"/>
      <w:u w:val="single"/>
    </w:rPr>
  </w:style>
  <w:style w:type="paragraph" w:styleId="Lijstalinea">
    <w:name w:val="List Paragraph"/>
    <w:basedOn w:val="Standaard"/>
    <w:uiPriority w:val="34"/>
    <w:qFormat/>
    <w:rsid w:val="0076393A"/>
    <w:pPr>
      <w:ind w:left="720"/>
    </w:pPr>
    <w:rPr>
      <w:lang w:eastAsia="fr-BE"/>
    </w:rPr>
  </w:style>
  <w:style w:type="paragraph" w:styleId="Ballontekst">
    <w:name w:val="Balloon Text"/>
    <w:basedOn w:val="Standaard"/>
    <w:link w:val="BallontekstChar"/>
    <w:uiPriority w:val="99"/>
    <w:semiHidden/>
    <w:unhideWhenUsed/>
    <w:rsid w:val="0076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76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393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393A"/>
    <w:rPr>
      <w:color w:val="0000FF"/>
      <w:u w:val="single"/>
    </w:rPr>
  </w:style>
  <w:style w:type="paragraph" w:styleId="Lijstalinea">
    <w:name w:val="List Paragraph"/>
    <w:basedOn w:val="Standaard"/>
    <w:uiPriority w:val="34"/>
    <w:qFormat/>
    <w:rsid w:val="0076393A"/>
    <w:pPr>
      <w:ind w:left="720"/>
    </w:pPr>
    <w:rPr>
      <w:lang w:eastAsia="fr-BE"/>
    </w:rPr>
  </w:style>
  <w:style w:type="paragraph" w:styleId="Ballontekst">
    <w:name w:val="Balloon Text"/>
    <w:basedOn w:val="Standaard"/>
    <w:link w:val="BallontekstChar"/>
    <w:uiPriority w:val="99"/>
    <w:semiHidden/>
    <w:unhideWhenUsed/>
    <w:rsid w:val="0076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763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petition/elojade/isef/case_details.cfm?proc_code=3_SA_37667" TargetMode="External"/><Relationship Id="rId13" Type="http://schemas.openxmlformats.org/officeDocument/2006/relationships/hyperlink" Target="http://www.linkedin.com/company/confederation-fiscal-europeene?trk=company_name" TargetMode="External"/><Relationship Id="rId3" Type="http://schemas.openxmlformats.org/officeDocument/2006/relationships/settings" Target="settings.xml"/><Relationship Id="rId7" Type="http://schemas.openxmlformats.org/officeDocument/2006/relationships/hyperlink" Target="http://eur-lex.europa.eu/legal-content/EN/TXT/?uri=uriserv:OJ.C_.2015.188.01.0024.01.ENG" TargetMode="External"/><Relationship Id="rId12" Type="http://schemas.openxmlformats.org/officeDocument/2006/relationships/hyperlink" Target="http://www.cfe-eutax.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0A778.DE46F250" TargetMode="External"/><Relationship Id="rId11" Type="http://schemas.openxmlformats.org/officeDocument/2006/relationships/hyperlink" Target="http://curia.europa.eu/juris/document/document.jsf?text=&amp;docid=161621&amp;pageIndex=0&amp;doclang=DE&amp;mode=lst&amp;dir=&amp;occ=first&amp;part=1&amp;cid=101915" TargetMode="External"/><Relationship Id="rId5" Type="http://schemas.openxmlformats.org/officeDocument/2006/relationships/image" Target="media/image1.jpeg"/><Relationship Id="rId15" Type="http://schemas.openxmlformats.org/officeDocument/2006/relationships/image" Target="cid:image002.png@01D05A62.500B7F50" TargetMode="External"/><Relationship Id="rId10" Type="http://schemas.openxmlformats.org/officeDocument/2006/relationships/hyperlink" Target="http://curia.europa.eu/juris/document/document.jsf?text=&amp;docid=164929&amp;pageIndex=0&amp;doclang=EN&amp;mode=lst&amp;dir=&amp;occ=first&amp;part=1&amp;cid=101915" TargetMode="External"/><Relationship Id="rId4" Type="http://schemas.openxmlformats.org/officeDocument/2006/relationships/webSettings" Target="webSettings.xml"/><Relationship Id="rId9" Type="http://schemas.openxmlformats.org/officeDocument/2006/relationships/hyperlink" Target="http://europa.eu/rapid/press-release_IP-15-4080_en.htm"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7101CAC2</Template>
  <TotalTime>1</TotalTime>
  <Pages>1</Pages>
  <Words>395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2015-06-15T12:48:00Z</dcterms:created>
  <dcterms:modified xsi:type="dcterms:W3CDTF">2015-06-15T12:49:00Z</dcterms:modified>
</cp:coreProperties>
</file>