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9C" w:rsidRDefault="00194C9C" w:rsidP="00194C9C">
      <w:pPr>
        <w:rPr>
          <w:color w:val="1F497D"/>
          <w:lang w:val="en-US"/>
        </w:rPr>
      </w:pPr>
    </w:p>
    <w:p w:rsidR="00194C9C" w:rsidRDefault="00194C9C" w:rsidP="00194C9C">
      <w:pPr>
        <w:rPr>
          <w:color w:val="1F497D"/>
          <w:lang w:val="en-US"/>
        </w:rPr>
      </w:pPr>
    </w:p>
    <w:tbl>
      <w:tblPr>
        <w:tblW w:w="9702" w:type="dxa"/>
        <w:tblCellSpacing w:w="0" w:type="dxa"/>
        <w:tblInd w:w="-300" w:type="dxa"/>
        <w:tblBorders>
          <w:top w:val="single" w:sz="48" w:space="0" w:color="000099"/>
          <w:left w:val="single" w:sz="48" w:space="0" w:color="000099"/>
          <w:bottom w:val="single" w:sz="48" w:space="0" w:color="000099"/>
          <w:right w:val="single" w:sz="48" w:space="0" w:color="0000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2"/>
      </w:tblGrid>
      <w:tr w:rsidR="00194C9C" w:rsidTr="00194C9C">
        <w:trPr>
          <w:trHeight w:val="1924"/>
          <w:tblCellSpacing w:w="0" w:type="dxa"/>
        </w:trPr>
        <w:tc>
          <w:tcPr>
            <w:tcW w:w="9702" w:type="dxa"/>
            <w:tcBorders>
              <w:top w:val="nil"/>
              <w:left w:val="nil"/>
              <w:bottom w:val="nil"/>
              <w:right w:val="nil"/>
            </w:tcBorders>
            <w:tcMar>
              <w:top w:w="375" w:type="dxa"/>
              <w:left w:w="300" w:type="dxa"/>
              <w:bottom w:w="300" w:type="dxa"/>
              <w:right w:w="300" w:type="dxa"/>
            </w:tcMar>
            <w:vAlign w:val="center"/>
          </w:tcPr>
          <w:tbl>
            <w:tblPr>
              <w:tblW w:w="91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94"/>
              <w:gridCol w:w="6"/>
            </w:tblGrid>
            <w:tr w:rsidR="00194C9C">
              <w:trPr>
                <w:trHeight w:val="76"/>
                <w:tblCellSpacing w:w="0" w:type="dxa"/>
              </w:trPr>
              <w:tc>
                <w:tcPr>
                  <w:tcW w:w="9094" w:type="dxa"/>
                  <w:vAlign w:val="center"/>
                  <w:hideMark/>
                </w:tcPr>
                <w:p w:rsidR="00194C9C" w:rsidRDefault="00194C9C">
                  <w:pPr>
                    <w:spacing w:line="76" w:lineRule="atLeas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  <w:lang w:eastAsia="nl-NL"/>
                    </w:rPr>
                    <w:drawing>
                      <wp:inline distT="0" distB="0" distL="0" distR="0">
                        <wp:extent cx="5762625" cy="666750"/>
                        <wp:effectExtent l="0" t="0" r="9525" b="0"/>
                        <wp:docPr id="2" name="Afbeelding 2" descr="cid:image001.jpg@01D0A2A8.073B32F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id:image001.jpg@01D0A2A8.073B32F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262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</w:tcPr>
                <w:p w:rsidR="00194C9C" w:rsidRDefault="00194C9C">
                  <w:pPr>
                    <w:spacing w:line="276" w:lineRule="auto"/>
                    <w:jc w:val="both"/>
                    <w:rPr>
                      <w:color w:val="ACABAB"/>
                      <w:sz w:val="20"/>
                      <w:szCs w:val="20"/>
                    </w:rPr>
                  </w:pPr>
                </w:p>
                <w:p w:rsidR="00194C9C" w:rsidRDefault="00194C9C">
                  <w:pPr>
                    <w:spacing w:line="76" w:lineRule="atLeast"/>
                    <w:jc w:val="both"/>
                    <w:rPr>
                      <w:color w:val="ACABAB"/>
                      <w:sz w:val="20"/>
                      <w:szCs w:val="20"/>
                    </w:rPr>
                  </w:pPr>
                </w:p>
              </w:tc>
            </w:tr>
          </w:tbl>
          <w:p w:rsidR="00194C9C" w:rsidRDefault="00194C9C">
            <w:pPr>
              <w:shd w:val="clear" w:color="auto" w:fill="FEFEFE"/>
              <w:spacing w:line="276" w:lineRule="auto"/>
              <w:ind w:right="2925"/>
              <w:jc w:val="both"/>
              <w:rPr>
                <w:b/>
                <w:bCs/>
                <w:color w:val="000000"/>
                <w:sz w:val="20"/>
                <w:szCs w:val="20"/>
                <w:lang w:val="en" w:eastAsia="fr-BE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194C9C" w:rsidRDefault="00194C9C">
            <w:pPr>
              <w:shd w:val="clear" w:color="auto" w:fill="FEFEFE"/>
              <w:spacing w:line="276" w:lineRule="auto"/>
              <w:ind w:left="7371"/>
              <w:jc w:val="both"/>
              <w:rPr>
                <w:b/>
                <w:bCs/>
                <w:color w:val="000000"/>
                <w:sz w:val="20"/>
                <w:szCs w:val="20"/>
                <w:lang w:val="en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"/>
              </w:rPr>
              <w:t>9 June 2015</w:t>
            </w:r>
          </w:p>
          <w:p w:rsidR="00194C9C" w:rsidRDefault="00194C9C">
            <w:pPr>
              <w:pStyle w:val="Lijstalinea"/>
              <w:spacing w:line="276" w:lineRule="auto"/>
              <w:ind w:left="1068"/>
              <w:rPr>
                <w:sz w:val="20"/>
                <w:szCs w:val="20"/>
              </w:rPr>
            </w:pPr>
          </w:p>
          <w:p w:rsidR="00194C9C" w:rsidRDefault="00194C9C">
            <w:pPr>
              <w:pStyle w:val="Lijstalinea"/>
              <w:spacing w:line="276" w:lineRule="auto"/>
              <w:ind w:left="426"/>
              <w:rPr>
                <w:sz w:val="20"/>
                <w:szCs w:val="20"/>
              </w:rPr>
            </w:pPr>
          </w:p>
          <w:p w:rsidR="00194C9C" w:rsidRDefault="00194C9C">
            <w:pPr>
              <w:pStyle w:val="Lijstalinea"/>
              <w:spacing w:line="276" w:lineRule="auto"/>
              <w:ind w:left="426"/>
              <w:rPr>
                <w:sz w:val="20"/>
                <w:szCs w:val="20"/>
              </w:rPr>
            </w:pPr>
          </w:p>
          <w:p w:rsidR="00194C9C" w:rsidRDefault="00194C9C">
            <w:pPr>
              <w:pStyle w:val="Lijstalinea"/>
              <w:spacing w:line="276" w:lineRule="auto"/>
              <w:ind w:hanging="43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         </w:t>
            </w:r>
            <w:proofErr w:type="spellStart"/>
            <w:r>
              <w:rPr>
                <w:b/>
                <w:bCs/>
                <w:sz w:val="20"/>
                <w:szCs w:val="20"/>
              </w:rPr>
              <w:t>Commission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requests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individual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tax </w:t>
            </w:r>
            <w:proofErr w:type="spellStart"/>
            <w:r>
              <w:rPr>
                <w:b/>
                <w:bCs/>
                <w:sz w:val="20"/>
                <w:szCs w:val="20"/>
              </w:rPr>
              <w:t>rulings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from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15 member </w:t>
            </w:r>
            <w:proofErr w:type="spellStart"/>
            <w:r>
              <w:rPr>
                <w:b/>
                <w:bCs/>
                <w:sz w:val="20"/>
                <w:szCs w:val="20"/>
              </w:rPr>
              <w:t>states</w:t>
            </w:r>
            <w:proofErr w:type="spellEnd"/>
          </w:p>
          <w:p w:rsidR="00194C9C" w:rsidRDefault="00194C9C">
            <w:pPr>
              <w:pStyle w:val="Lijstalinea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194C9C" w:rsidRDefault="00194C9C">
            <w:pPr>
              <w:pStyle w:val="Lijstalinea"/>
              <w:spacing w:line="276" w:lineRule="auto"/>
              <w:ind w:left="426"/>
            </w:pPr>
            <w:r>
              <w:rPr>
                <w:sz w:val="20"/>
                <w:szCs w:val="20"/>
              </w:rPr>
              <w:t xml:space="preserve">On 8 </w:t>
            </w:r>
            <w:proofErr w:type="spellStart"/>
            <w:r>
              <w:rPr>
                <w:sz w:val="20"/>
                <w:szCs w:val="20"/>
              </w:rPr>
              <w:t>June</w:t>
            </w:r>
            <w:proofErr w:type="spellEnd"/>
            <w:r>
              <w:rPr>
                <w:sz w:val="20"/>
                <w:szCs w:val="20"/>
              </w:rPr>
              <w:t xml:space="preserve"> 2015, the European </w:t>
            </w:r>
            <w:proofErr w:type="spellStart"/>
            <w:r>
              <w:rPr>
                <w:sz w:val="20"/>
                <w:szCs w:val="20"/>
              </w:rPr>
              <w:t>Commission</w:t>
            </w:r>
            <w:proofErr w:type="spellEnd"/>
            <w:r>
              <w:rPr>
                <w:sz w:val="20"/>
                <w:szCs w:val="20"/>
              </w:rPr>
              <w:t xml:space="preserve"> has </w:t>
            </w:r>
            <w:proofErr w:type="spellStart"/>
            <w:r>
              <w:rPr>
                <w:sz w:val="20"/>
                <w:szCs w:val="20"/>
              </w:rPr>
              <w:t>ordered</w:t>
            </w:r>
            <w:proofErr w:type="spellEnd"/>
            <w:r>
              <w:rPr>
                <w:sz w:val="20"/>
                <w:szCs w:val="20"/>
              </w:rPr>
              <w:t xml:space="preserve"> 15 EU member </w:t>
            </w:r>
            <w:proofErr w:type="spellStart"/>
            <w:r>
              <w:rPr>
                <w:sz w:val="20"/>
                <w:szCs w:val="20"/>
              </w:rPr>
              <w:t>states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submit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substantial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number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individual</w:t>
            </w:r>
            <w:proofErr w:type="spellEnd"/>
            <w:r>
              <w:rPr>
                <w:sz w:val="20"/>
                <w:szCs w:val="20"/>
              </w:rPr>
              <w:t xml:space="preserve"> tax </w:t>
            </w:r>
            <w:proofErr w:type="spellStart"/>
            <w:r>
              <w:rPr>
                <w:sz w:val="20"/>
                <w:szCs w:val="20"/>
              </w:rPr>
              <w:t>rulings</w:t>
            </w:r>
            <w:proofErr w:type="spellEnd"/>
            <w:r>
              <w:rPr>
                <w:sz w:val="20"/>
                <w:szCs w:val="20"/>
              </w:rPr>
              <w:t xml:space="preserve"> at </w:t>
            </w:r>
            <w:proofErr w:type="spellStart"/>
            <w:r>
              <w:rPr>
                <w:sz w:val="20"/>
                <w:szCs w:val="20"/>
              </w:rPr>
              <w:t>which</w:t>
            </w:r>
            <w:proofErr w:type="spellEnd"/>
            <w:r>
              <w:rPr>
                <w:sz w:val="20"/>
                <w:szCs w:val="20"/>
              </w:rPr>
              <w:t xml:space="preserve"> the </w:t>
            </w:r>
            <w:proofErr w:type="spellStart"/>
            <w:r>
              <w:rPr>
                <w:sz w:val="20"/>
                <w:szCs w:val="20"/>
              </w:rPr>
              <w:t>Commission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intends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have a closer look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assess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whether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they</w:t>
            </w:r>
            <w:proofErr w:type="spellEnd"/>
            <w:r>
              <w:rPr>
                <w:sz w:val="20"/>
                <w:szCs w:val="20"/>
              </w:rPr>
              <w:t xml:space="preserve"> respect EU state </w:t>
            </w:r>
            <w:proofErr w:type="spellStart"/>
            <w:r>
              <w:rPr>
                <w:sz w:val="20"/>
                <w:szCs w:val="20"/>
              </w:rPr>
              <w:t>aid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rules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Reportedly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group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includes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among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others</w:t>
            </w:r>
            <w:proofErr w:type="spellEnd"/>
            <w:r>
              <w:rPr>
                <w:sz w:val="20"/>
                <w:szCs w:val="20"/>
              </w:rPr>
              <w:t xml:space="preserve">, Austria, France, Germany, Italy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Spain. </w:t>
            </w:r>
            <w:proofErr w:type="spellStart"/>
            <w:r>
              <w:rPr>
                <w:sz w:val="20"/>
                <w:szCs w:val="20"/>
              </w:rPr>
              <w:t>This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request</w:t>
            </w:r>
            <w:proofErr w:type="spellEnd"/>
            <w:r>
              <w:rPr>
                <w:sz w:val="20"/>
                <w:szCs w:val="20"/>
              </w:rPr>
              <w:t xml:space="preserve"> is </w:t>
            </w:r>
            <w:proofErr w:type="spellStart"/>
            <w:r>
              <w:rPr>
                <w:sz w:val="20"/>
                <w:szCs w:val="20"/>
              </w:rPr>
              <w:t>based</w:t>
            </w:r>
            <w:proofErr w:type="spellEnd"/>
            <w:r>
              <w:rPr>
                <w:sz w:val="20"/>
                <w:szCs w:val="20"/>
              </w:rPr>
              <w:t xml:space="preserve"> on the information the </w:t>
            </w:r>
            <w:proofErr w:type="spellStart"/>
            <w:r>
              <w:rPr>
                <w:sz w:val="20"/>
                <w:szCs w:val="20"/>
              </w:rPr>
              <w:t>Commission</w:t>
            </w:r>
            <w:proofErr w:type="spellEnd"/>
            <w:r>
              <w:rPr>
                <w:sz w:val="20"/>
                <w:szCs w:val="20"/>
              </w:rPr>
              <w:t xml:space="preserve"> has </w:t>
            </w:r>
            <w:proofErr w:type="spellStart"/>
            <w:r>
              <w:rPr>
                <w:sz w:val="20"/>
                <w:szCs w:val="20"/>
              </w:rPr>
              <w:t>received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>
              <w:rPr>
                <w:sz w:val="20"/>
                <w:szCs w:val="20"/>
              </w:rPr>
              <w:t xml:space="preserve"> the 26 member </w:t>
            </w:r>
            <w:proofErr w:type="spellStart"/>
            <w:r>
              <w:rPr>
                <w:sz w:val="20"/>
                <w:szCs w:val="20"/>
              </w:rPr>
              <w:t>states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which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responded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its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request</w:t>
            </w:r>
            <w:proofErr w:type="spellEnd"/>
            <w:r>
              <w:rPr>
                <w:sz w:val="20"/>
                <w:szCs w:val="20"/>
              </w:rPr>
              <w:t xml:space="preserve"> of December 2014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submit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general</w:t>
            </w:r>
            <w:proofErr w:type="spellEnd"/>
            <w:r>
              <w:rPr>
                <w:sz w:val="20"/>
                <w:szCs w:val="20"/>
              </w:rPr>
              <w:t xml:space="preserve"> information on </w:t>
            </w:r>
            <w:proofErr w:type="spellStart"/>
            <w:r>
              <w:rPr>
                <w:sz w:val="20"/>
                <w:szCs w:val="20"/>
              </w:rPr>
              <w:t>their</w:t>
            </w:r>
            <w:proofErr w:type="spellEnd"/>
            <w:r>
              <w:rPr>
                <w:sz w:val="20"/>
                <w:szCs w:val="20"/>
              </w:rPr>
              <w:t xml:space="preserve"> tax </w:t>
            </w:r>
            <w:proofErr w:type="spellStart"/>
            <w:r>
              <w:rPr>
                <w:sz w:val="20"/>
                <w:szCs w:val="20"/>
              </w:rPr>
              <w:t>rulings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practices</w:t>
            </w:r>
            <w:proofErr w:type="spellEnd"/>
            <w:r>
              <w:rPr>
                <w:sz w:val="20"/>
                <w:szCs w:val="20"/>
              </w:rPr>
              <w:t xml:space="preserve">. Estonia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Poland have </w:t>
            </w:r>
            <w:proofErr w:type="spellStart"/>
            <w:r>
              <w:rPr>
                <w:sz w:val="20"/>
                <w:szCs w:val="20"/>
              </w:rPr>
              <w:t>not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yet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complied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request</w:t>
            </w:r>
            <w:proofErr w:type="spellEnd"/>
            <w:r>
              <w:rPr>
                <w:sz w:val="20"/>
                <w:szCs w:val="20"/>
              </w:rPr>
              <w:t xml:space="preserve">. The </w:t>
            </w:r>
            <w:proofErr w:type="spellStart"/>
            <w:r>
              <w:rPr>
                <w:sz w:val="20"/>
                <w:szCs w:val="20"/>
              </w:rPr>
              <w:t>Commission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ordered</w:t>
            </w:r>
            <w:proofErr w:type="spellEnd"/>
            <w:r>
              <w:rPr>
                <w:sz w:val="20"/>
                <w:szCs w:val="20"/>
              </w:rPr>
              <w:t xml:space="preserve"> these </w:t>
            </w:r>
            <w:proofErr w:type="spellStart"/>
            <w:r>
              <w:rPr>
                <w:sz w:val="20"/>
                <w:szCs w:val="20"/>
              </w:rPr>
              <w:t>two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countries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yesterday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submit</w:t>
            </w:r>
            <w:proofErr w:type="spellEnd"/>
            <w:r>
              <w:rPr>
                <w:sz w:val="20"/>
                <w:szCs w:val="20"/>
              </w:rPr>
              <w:t xml:space="preserve"> the missing information </w:t>
            </w:r>
            <w:proofErr w:type="spellStart"/>
            <w:r>
              <w:rPr>
                <w:sz w:val="20"/>
                <w:szCs w:val="20"/>
              </w:rPr>
              <w:t>within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month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94C9C" w:rsidRDefault="00194C9C">
            <w:pPr>
              <w:pStyle w:val="Lijstalinea"/>
              <w:spacing w:line="276" w:lineRule="auto"/>
              <w:rPr>
                <w:sz w:val="20"/>
                <w:szCs w:val="20"/>
              </w:rPr>
            </w:pPr>
          </w:p>
          <w:p w:rsidR="00194C9C" w:rsidRDefault="00194C9C">
            <w:pPr>
              <w:pStyle w:val="Lijstalinea"/>
              <w:spacing w:line="276" w:lineRule="auto"/>
              <w:ind w:hanging="360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-</w:t>
            </w:r>
            <w:r>
              <w:rPr>
                <w:rFonts w:ascii="Times New Roman" w:hAnsi="Times New Roman"/>
                <w:sz w:val="14"/>
                <w:szCs w:val="14"/>
                <w:lang w:val="fr-BE"/>
              </w:rPr>
              <w:t xml:space="preserve">          </w:t>
            </w:r>
            <w:proofErr w:type="spellStart"/>
            <w:r>
              <w:rPr>
                <w:sz w:val="20"/>
                <w:szCs w:val="20"/>
                <w:lang w:val="fr-BE"/>
              </w:rPr>
              <w:t>Press</w:t>
            </w:r>
            <w:proofErr w:type="spellEnd"/>
            <w:r>
              <w:rPr>
                <w:sz w:val="20"/>
                <w:szCs w:val="20"/>
                <w:lang w:val="fr-BE"/>
              </w:rPr>
              <w:t xml:space="preserve"> release: </w:t>
            </w:r>
            <w:hyperlink r:id="rId7" w:history="1">
              <w:r>
                <w:rPr>
                  <w:rStyle w:val="Hyperlink"/>
                  <w:sz w:val="20"/>
                  <w:szCs w:val="20"/>
                  <w:lang w:val="fr-BE"/>
                </w:rPr>
                <w:t>EN</w:t>
              </w:r>
            </w:hyperlink>
            <w:r>
              <w:rPr>
                <w:sz w:val="20"/>
                <w:szCs w:val="20"/>
                <w:lang w:val="fr-BE"/>
              </w:rPr>
              <w:t xml:space="preserve"> /</w:t>
            </w:r>
            <w:hyperlink r:id="rId8" w:history="1">
              <w:r>
                <w:rPr>
                  <w:rStyle w:val="Hyperlink"/>
                  <w:sz w:val="20"/>
                  <w:szCs w:val="20"/>
                  <w:lang w:val="fr-BE"/>
                </w:rPr>
                <w:t>FR</w:t>
              </w:r>
            </w:hyperlink>
            <w:r>
              <w:rPr>
                <w:sz w:val="20"/>
                <w:szCs w:val="20"/>
                <w:lang w:val="fr-BE"/>
              </w:rPr>
              <w:t>/</w:t>
            </w:r>
            <w:hyperlink r:id="rId9" w:history="1">
              <w:r>
                <w:rPr>
                  <w:rStyle w:val="Hyperlink"/>
                  <w:sz w:val="20"/>
                  <w:szCs w:val="20"/>
                  <w:lang w:val="fr-BE"/>
                </w:rPr>
                <w:t>DE</w:t>
              </w:r>
            </w:hyperlink>
            <w:r>
              <w:rPr>
                <w:sz w:val="20"/>
                <w:szCs w:val="20"/>
                <w:lang w:val="fr-BE"/>
              </w:rPr>
              <w:t>/</w:t>
            </w:r>
            <w:hyperlink r:id="rId10" w:history="1">
              <w:r>
                <w:rPr>
                  <w:rStyle w:val="Hyperlink"/>
                  <w:sz w:val="20"/>
                  <w:szCs w:val="20"/>
                  <w:lang w:val="fr-BE"/>
                </w:rPr>
                <w:t>ET</w:t>
              </w:r>
            </w:hyperlink>
            <w:r>
              <w:rPr>
                <w:sz w:val="20"/>
                <w:szCs w:val="20"/>
                <w:lang w:val="fr-BE"/>
              </w:rPr>
              <w:t>/PL)</w:t>
            </w:r>
          </w:p>
          <w:p w:rsidR="00194C9C" w:rsidRDefault="00194C9C">
            <w:pPr>
              <w:pStyle w:val="Lijstalinea"/>
              <w:spacing w:line="276" w:lineRule="auto"/>
              <w:rPr>
                <w:b/>
                <w:bCs/>
                <w:sz w:val="20"/>
                <w:szCs w:val="20"/>
                <w:lang w:val="fr-BE"/>
              </w:rPr>
            </w:pPr>
          </w:p>
          <w:p w:rsidR="00194C9C" w:rsidRDefault="00194C9C">
            <w:pPr>
              <w:spacing w:line="276" w:lineRule="auto"/>
              <w:rPr>
                <w:sz w:val="20"/>
                <w:szCs w:val="20"/>
                <w:lang w:val="fr-BE"/>
              </w:rPr>
            </w:pPr>
          </w:p>
          <w:p w:rsidR="00194C9C" w:rsidRDefault="00194C9C">
            <w:pPr>
              <w:pStyle w:val="Lijstalinea"/>
              <w:spacing w:line="276" w:lineRule="auto"/>
              <w:ind w:hanging="3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       </w:t>
            </w:r>
            <w:r>
              <w:rPr>
                <w:b/>
                <w:bCs/>
                <w:sz w:val="20"/>
                <w:szCs w:val="20"/>
              </w:rPr>
              <w:t xml:space="preserve">CJEU </w:t>
            </w:r>
            <w:proofErr w:type="spellStart"/>
            <w:r>
              <w:rPr>
                <w:b/>
                <w:bCs/>
                <w:sz w:val="20"/>
                <w:szCs w:val="20"/>
              </w:rPr>
              <w:t>limits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UK VAT </w:t>
            </w:r>
            <w:proofErr w:type="spellStart"/>
            <w:r>
              <w:rPr>
                <w:b/>
                <w:bCs/>
                <w:sz w:val="20"/>
                <w:szCs w:val="20"/>
              </w:rPr>
              <w:t>reduction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on </w:t>
            </w:r>
            <w:proofErr w:type="spellStart"/>
            <w:r>
              <w:rPr>
                <w:b/>
                <w:bCs/>
                <w:sz w:val="20"/>
                <w:szCs w:val="20"/>
              </w:rPr>
              <w:t>energy-saving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materials</w:t>
            </w:r>
            <w:proofErr w:type="spellEnd"/>
          </w:p>
          <w:p w:rsidR="00194C9C" w:rsidRDefault="00194C9C">
            <w:pPr>
              <w:pStyle w:val="Lijstalinea"/>
              <w:spacing w:line="276" w:lineRule="auto"/>
              <w:ind w:left="426"/>
              <w:rPr>
                <w:sz w:val="20"/>
                <w:szCs w:val="20"/>
              </w:rPr>
            </w:pPr>
          </w:p>
          <w:p w:rsidR="00194C9C" w:rsidRDefault="00194C9C">
            <w:pPr>
              <w:pStyle w:val="Lijstalinea"/>
              <w:spacing w:line="276" w:lineRule="auto"/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 4 </w:t>
            </w:r>
            <w:proofErr w:type="spellStart"/>
            <w:r>
              <w:rPr>
                <w:sz w:val="20"/>
                <w:szCs w:val="20"/>
              </w:rPr>
              <w:t>June</w:t>
            </w:r>
            <w:proofErr w:type="spellEnd"/>
            <w:r>
              <w:rPr>
                <w:sz w:val="20"/>
                <w:szCs w:val="20"/>
              </w:rPr>
              <w:t xml:space="preserve"> 2015, the EU Court of </w:t>
            </w:r>
            <w:proofErr w:type="spellStart"/>
            <w:r>
              <w:rPr>
                <w:sz w:val="20"/>
                <w:szCs w:val="20"/>
              </w:rPr>
              <w:t>Justice</w:t>
            </w:r>
            <w:proofErr w:type="spellEnd"/>
            <w:r>
              <w:rPr>
                <w:sz w:val="20"/>
                <w:szCs w:val="20"/>
              </w:rPr>
              <w:t xml:space="preserve"> (CJEU) </w:t>
            </w:r>
            <w:proofErr w:type="spellStart"/>
            <w:r>
              <w:rPr>
                <w:sz w:val="20"/>
                <w:szCs w:val="20"/>
              </w:rPr>
              <w:t>decided</w:t>
            </w:r>
            <w:proofErr w:type="spellEnd"/>
            <w:r>
              <w:rPr>
                <w:sz w:val="20"/>
                <w:szCs w:val="20"/>
              </w:rPr>
              <w:t xml:space="preserve"> in the </w:t>
            </w:r>
            <w:proofErr w:type="spellStart"/>
            <w:r>
              <w:rPr>
                <w:sz w:val="20"/>
                <w:szCs w:val="20"/>
              </w:rPr>
              <w:t>infringement</w:t>
            </w:r>
            <w:proofErr w:type="spellEnd"/>
            <w:r>
              <w:rPr>
                <w:sz w:val="20"/>
                <w:szCs w:val="20"/>
              </w:rPr>
              <w:t xml:space="preserve"> case C-161/14 </w:t>
            </w:r>
            <w:proofErr w:type="spellStart"/>
            <w:r>
              <w:rPr>
                <w:sz w:val="20"/>
                <w:szCs w:val="20"/>
              </w:rPr>
              <w:t>against</w:t>
            </w:r>
            <w:proofErr w:type="spellEnd"/>
            <w:r>
              <w:rPr>
                <w:sz w:val="20"/>
                <w:szCs w:val="20"/>
              </w:rPr>
              <w:t xml:space="preserve"> the UK </w:t>
            </w:r>
            <w:proofErr w:type="spellStart"/>
            <w:r>
              <w:rPr>
                <w:sz w:val="20"/>
                <w:szCs w:val="20"/>
              </w:rPr>
              <w:t>that</w:t>
            </w:r>
            <w:proofErr w:type="spellEnd"/>
            <w:r>
              <w:rPr>
                <w:sz w:val="20"/>
                <w:szCs w:val="20"/>
              </w:rPr>
              <w:t xml:space="preserve"> the country </w:t>
            </w:r>
            <w:proofErr w:type="spellStart"/>
            <w:r>
              <w:rPr>
                <w:sz w:val="20"/>
                <w:szCs w:val="20"/>
              </w:rPr>
              <w:t>could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apply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reduced</w:t>
            </w:r>
            <w:proofErr w:type="spellEnd"/>
            <w:r>
              <w:rPr>
                <w:sz w:val="20"/>
                <w:szCs w:val="20"/>
              </w:rPr>
              <w:t xml:space="preserve"> VAT </w:t>
            </w:r>
            <w:proofErr w:type="spellStart"/>
            <w:r>
              <w:rPr>
                <w:sz w:val="20"/>
                <w:szCs w:val="20"/>
              </w:rPr>
              <w:t>rate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supplies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energy-saving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materials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their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installation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residential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accommodation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there</w:t>
            </w:r>
            <w:proofErr w:type="spellEnd"/>
            <w:r>
              <w:rPr>
                <w:sz w:val="20"/>
                <w:szCs w:val="20"/>
              </w:rPr>
              <w:t xml:space="preserve"> is no </w:t>
            </w:r>
            <w:proofErr w:type="spellStart"/>
            <w:r>
              <w:rPr>
                <w:sz w:val="20"/>
                <w:szCs w:val="20"/>
              </w:rPr>
              <w:t>social</w:t>
            </w:r>
            <w:proofErr w:type="spellEnd"/>
            <w:r>
              <w:rPr>
                <w:sz w:val="20"/>
                <w:szCs w:val="20"/>
              </w:rPr>
              <w:t xml:space="preserve"> policy </w:t>
            </w:r>
            <w:proofErr w:type="spellStart"/>
            <w:r>
              <w:rPr>
                <w:sz w:val="20"/>
                <w:szCs w:val="20"/>
              </w:rPr>
              <w:t>purpose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they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don´t</w:t>
            </w:r>
            <w:proofErr w:type="spellEnd"/>
            <w:r>
              <w:rPr>
                <w:sz w:val="20"/>
                <w:szCs w:val="20"/>
              </w:rPr>
              <w:t xml:space="preserve"> concern private </w:t>
            </w:r>
            <w:proofErr w:type="spellStart"/>
            <w:r>
              <w:rPr>
                <w:sz w:val="20"/>
                <w:szCs w:val="20"/>
              </w:rPr>
              <w:t>dwellings</w:t>
            </w:r>
            <w:proofErr w:type="spellEnd"/>
            <w:r>
              <w:rPr>
                <w:sz w:val="20"/>
                <w:szCs w:val="20"/>
              </w:rPr>
              <w:t xml:space="preserve"> or the </w:t>
            </w:r>
            <w:proofErr w:type="spellStart"/>
            <w:r>
              <w:rPr>
                <w:sz w:val="20"/>
                <w:szCs w:val="20"/>
              </w:rPr>
              <w:t>materials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supplied</w:t>
            </w:r>
            <w:proofErr w:type="spellEnd"/>
            <w:r>
              <w:rPr>
                <w:sz w:val="20"/>
                <w:szCs w:val="20"/>
              </w:rPr>
              <w:t xml:space="preserve"> account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a significant part of the </w:t>
            </w:r>
            <w:proofErr w:type="spellStart"/>
            <w:r>
              <w:rPr>
                <w:sz w:val="20"/>
                <w:szCs w:val="20"/>
              </w:rPr>
              <w:t>value</w:t>
            </w:r>
            <w:proofErr w:type="spellEnd"/>
            <w:r>
              <w:rPr>
                <w:sz w:val="20"/>
                <w:szCs w:val="20"/>
              </w:rPr>
              <w:t xml:space="preserve"> of the services.</w:t>
            </w:r>
          </w:p>
          <w:p w:rsidR="00194C9C" w:rsidRDefault="00194C9C">
            <w:pPr>
              <w:pStyle w:val="Lijstalinea"/>
              <w:spacing w:line="276" w:lineRule="auto"/>
              <w:ind w:left="426"/>
              <w:rPr>
                <w:sz w:val="20"/>
                <w:szCs w:val="20"/>
              </w:rPr>
            </w:pPr>
          </w:p>
          <w:p w:rsidR="00194C9C" w:rsidRDefault="00194C9C">
            <w:pPr>
              <w:pStyle w:val="Lijstalinea"/>
              <w:spacing w:line="276" w:lineRule="auto"/>
              <w:ind w:left="1068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  </w:t>
            </w:r>
            <w:r>
              <w:rPr>
                <w:sz w:val="20"/>
                <w:szCs w:val="20"/>
              </w:rPr>
              <w:t xml:space="preserve">Press release (no.65/2015): </w:t>
            </w:r>
            <w:hyperlink r:id="rId11" w:history="1">
              <w:r>
                <w:rPr>
                  <w:rStyle w:val="Hyperlink"/>
                  <w:sz w:val="20"/>
                  <w:szCs w:val="20"/>
                </w:rPr>
                <w:t>EN</w:t>
              </w:r>
            </w:hyperlink>
            <w:r>
              <w:rPr>
                <w:sz w:val="20"/>
                <w:szCs w:val="20"/>
              </w:rPr>
              <w:t xml:space="preserve"> / </w:t>
            </w:r>
            <w:hyperlink r:id="rId12" w:tgtFrame="_blank" w:history="1">
              <w:r>
                <w:rPr>
                  <w:rStyle w:val="Hyperlink"/>
                  <w:sz w:val="20"/>
                  <w:szCs w:val="20"/>
                </w:rPr>
                <w:t>ES</w:t>
              </w:r>
            </w:hyperlink>
            <w:r>
              <w:rPr>
                <w:sz w:val="20"/>
                <w:szCs w:val="20"/>
              </w:rPr>
              <w:t xml:space="preserve"> / </w:t>
            </w:r>
            <w:hyperlink r:id="rId13" w:tgtFrame="_blank" w:history="1">
              <w:r>
                <w:rPr>
                  <w:rStyle w:val="Hyperlink"/>
                  <w:sz w:val="20"/>
                  <w:szCs w:val="20"/>
                </w:rPr>
                <w:t>CS</w:t>
              </w:r>
            </w:hyperlink>
            <w:r>
              <w:rPr>
                <w:sz w:val="20"/>
                <w:szCs w:val="20"/>
              </w:rPr>
              <w:t xml:space="preserve"> / </w:t>
            </w:r>
            <w:hyperlink r:id="rId14" w:tgtFrame="_blank" w:history="1">
              <w:r>
                <w:rPr>
                  <w:rStyle w:val="Hyperlink"/>
                  <w:sz w:val="20"/>
                  <w:szCs w:val="20"/>
                </w:rPr>
                <w:t>DE</w:t>
              </w:r>
            </w:hyperlink>
            <w:r>
              <w:rPr>
                <w:sz w:val="20"/>
                <w:szCs w:val="20"/>
              </w:rPr>
              <w:t xml:space="preserve"> / </w:t>
            </w:r>
            <w:hyperlink r:id="rId15" w:tgtFrame="_blank" w:history="1">
              <w:r>
                <w:rPr>
                  <w:rStyle w:val="Hyperlink"/>
                  <w:sz w:val="20"/>
                  <w:szCs w:val="20"/>
                </w:rPr>
                <w:t>FR</w:t>
              </w:r>
            </w:hyperlink>
            <w:r>
              <w:rPr>
                <w:sz w:val="20"/>
                <w:szCs w:val="20"/>
              </w:rPr>
              <w:t xml:space="preserve"> / </w:t>
            </w:r>
            <w:hyperlink r:id="rId16" w:tgtFrame="_blank" w:history="1">
              <w:r>
                <w:rPr>
                  <w:rStyle w:val="Hyperlink"/>
                  <w:sz w:val="20"/>
                  <w:szCs w:val="20"/>
                </w:rPr>
                <w:t>IT</w:t>
              </w:r>
            </w:hyperlink>
            <w:r>
              <w:rPr>
                <w:sz w:val="20"/>
                <w:szCs w:val="20"/>
              </w:rPr>
              <w:t xml:space="preserve">/ </w:t>
            </w:r>
            <w:hyperlink r:id="rId17" w:tgtFrame="_blank" w:history="1">
              <w:r>
                <w:rPr>
                  <w:rStyle w:val="Hyperlink"/>
                  <w:sz w:val="20"/>
                  <w:szCs w:val="20"/>
                </w:rPr>
                <w:t>PT</w:t>
              </w:r>
            </w:hyperlink>
            <w:r>
              <w:rPr>
                <w:sz w:val="20"/>
                <w:szCs w:val="20"/>
              </w:rPr>
              <w:t xml:space="preserve"> /</w:t>
            </w:r>
            <w:hyperlink r:id="rId18" w:tgtFrame="_blank" w:history="1">
              <w:r>
                <w:rPr>
                  <w:rStyle w:val="Hyperlink"/>
                  <w:sz w:val="20"/>
                  <w:szCs w:val="20"/>
                </w:rPr>
                <w:t>SK</w:t>
              </w:r>
            </w:hyperlink>
          </w:p>
          <w:p w:rsidR="00194C9C" w:rsidRDefault="00194C9C">
            <w:pPr>
              <w:pStyle w:val="Lijstalinea"/>
              <w:spacing w:line="276" w:lineRule="auto"/>
              <w:ind w:left="1068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  </w:t>
            </w:r>
            <w:proofErr w:type="spellStart"/>
            <w:r>
              <w:rPr>
                <w:sz w:val="20"/>
                <w:szCs w:val="20"/>
              </w:rPr>
              <w:t>Judgment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hyperlink r:id="rId19" w:history="1">
              <w:r>
                <w:rPr>
                  <w:rStyle w:val="Hyperlink"/>
                  <w:sz w:val="20"/>
                  <w:szCs w:val="20"/>
                </w:rPr>
                <w:t>EN</w:t>
              </w:r>
            </w:hyperlink>
            <w:r>
              <w:rPr>
                <w:sz w:val="20"/>
                <w:szCs w:val="20"/>
              </w:rPr>
              <w:t xml:space="preserve"> (FR </w:t>
            </w:r>
            <w:proofErr w:type="spellStart"/>
            <w:r>
              <w:rPr>
                <w:sz w:val="20"/>
                <w:szCs w:val="20"/>
              </w:rPr>
              <w:t>available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194C9C" w:rsidRDefault="00194C9C">
            <w:pPr>
              <w:pStyle w:val="Lijstalinea"/>
              <w:spacing w:line="276" w:lineRule="auto"/>
              <w:ind w:left="426"/>
              <w:rPr>
                <w:b/>
                <w:bCs/>
                <w:sz w:val="20"/>
                <w:szCs w:val="20"/>
                <w:lang w:val="fr-BE"/>
              </w:rPr>
            </w:pPr>
          </w:p>
          <w:p w:rsidR="00194C9C" w:rsidRDefault="00194C9C">
            <w:pPr>
              <w:pStyle w:val="Lijstalinea"/>
              <w:spacing w:line="276" w:lineRule="auto"/>
              <w:ind w:left="426"/>
              <w:rPr>
                <w:b/>
                <w:bCs/>
                <w:sz w:val="20"/>
                <w:szCs w:val="20"/>
              </w:rPr>
            </w:pPr>
          </w:p>
          <w:p w:rsidR="00194C9C" w:rsidRDefault="00194C9C">
            <w:pPr>
              <w:pStyle w:val="Lijstalinea"/>
              <w:spacing w:line="276" w:lineRule="auto"/>
              <w:ind w:hanging="43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         </w:t>
            </w:r>
            <w:r>
              <w:rPr>
                <w:b/>
                <w:bCs/>
                <w:sz w:val="20"/>
                <w:szCs w:val="20"/>
              </w:rPr>
              <w:t xml:space="preserve">OECD presents  country </w:t>
            </w:r>
            <w:proofErr w:type="spellStart"/>
            <w:r>
              <w:rPr>
                <w:b/>
                <w:bCs/>
                <w:sz w:val="20"/>
                <w:szCs w:val="20"/>
              </w:rPr>
              <w:t>by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country </w:t>
            </w:r>
            <w:proofErr w:type="spellStart"/>
            <w:r>
              <w:rPr>
                <w:b/>
                <w:bCs/>
                <w:sz w:val="20"/>
                <w:szCs w:val="20"/>
              </w:rPr>
              <w:t>reporting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implementation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package</w:t>
            </w:r>
          </w:p>
          <w:p w:rsidR="00194C9C" w:rsidRDefault="00194C9C">
            <w:pPr>
              <w:pStyle w:val="Lijstalinea"/>
              <w:spacing w:line="276" w:lineRule="auto"/>
              <w:rPr>
                <w:sz w:val="20"/>
                <w:szCs w:val="20"/>
              </w:rPr>
            </w:pPr>
          </w:p>
          <w:p w:rsidR="00194C9C" w:rsidRDefault="00194C9C">
            <w:pPr>
              <w:pStyle w:val="Lijstalinea"/>
              <w:spacing w:line="276" w:lineRule="auto"/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 8 </w:t>
            </w:r>
            <w:proofErr w:type="spellStart"/>
            <w:r>
              <w:rPr>
                <w:sz w:val="20"/>
                <w:szCs w:val="20"/>
              </w:rPr>
              <w:t>June</w:t>
            </w:r>
            <w:proofErr w:type="spellEnd"/>
            <w:r>
              <w:rPr>
                <w:sz w:val="20"/>
                <w:szCs w:val="20"/>
              </w:rPr>
              <w:t xml:space="preserve"> 2015, the OECD </w:t>
            </w:r>
            <w:proofErr w:type="spellStart"/>
            <w:r>
              <w:rPr>
                <w:sz w:val="20"/>
                <w:szCs w:val="20"/>
              </w:rPr>
              <w:t>presented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its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implementation</w:t>
            </w:r>
            <w:proofErr w:type="spellEnd"/>
            <w:r>
              <w:rPr>
                <w:sz w:val="20"/>
                <w:szCs w:val="20"/>
              </w:rPr>
              <w:t xml:space="preserve"> package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its</w:t>
            </w:r>
            <w:proofErr w:type="spellEnd"/>
            <w:r>
              <w:rPr>
                <w:sz w:val="20"/>
                <w:szCs w:val="20"/>
              </w:rPr>
              <w:t xml:space="preserve"> country </w:t>
            </w:r>
            <w:proofErr w:type="spellStart"/>
            <w:r>
              <w:rPr>
                <w:sz w:val="20"/>
                <w:szCs w:val="20"/>
              </w:rPr>
              <w:t>by</w:t>
            </w:r>
            <w:proofErr w:type="spellEnd"/>
            <w:r>
              <w:rPr>
                <w:sz w:val="20"/>
                <w:szCs w:val="20"/>
              </w:rPr>
              <w:t xml:space="preserve"> country </w:t>
            </w:r>
            <w:proofErr w:type="spellStart"/>
            <w:r>
              <w:rPr>
                <w:sz w:val="20"/>
                <w:szCs w:val="20"/>
              </w:rPr>
              <w:t>reporting</w:t>
            </w:r>
            <w:proofErr w:type="spellEnd"/>
            <w:r>
              <w:rPr>
                <w:sz w:val="20"/>
                <w:szCs w:val="20"/>
              </w:rPr>
              <w:t xml:space="preserve"> standard (BEPS Action 13) in transfer pricing, </w:t>
            </w:r>
            <w:proofErr w:type="spellStart"/>
            <w:r>
              <w:rPr>
                <w:sz w:val="20"/>
                <w:szCs w:val="20"/>
              </w:rPr>
              <w:t>issued</w:t>
            </w:r>
            <w:proofErr w:type="spellEnd"/>
            <w:r>
              <w:rPr>
                <w:sz w:val="20"/>
                <w:szCs w:val="20"/>
              </w:rPr>
              <w:t xml:space="preserve"> in September 2014.</w:t>
            </w:r>
          </w:p>
          <w:p w:rsidR="00194C9C" w:rsidRDefault="00194C9C">
            <w:pPr>
              <w:pStyle w:val="Lijstalinea"/>
              <w:spacing w:line="276" w:lineRule="auto"/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proofErr w:type="spellStart"/>
            <w:r>
              <w:rPr>
                <w:sz w:val="20"/>
                <w:szCs w:val="20"/>
              </w:rPr>
              <w:t>reporting</w:t>
            </w:r>
            <w:proofErr w:type="spellEnd"/>
            <w:r>
              <w:rPr>
                <w:sz w:val="20"/>
                <w:szCs w:val="20"/>
              </w:rPr>
              <w:t xml:space="preserve"> standard </w:t>
            </w:r>
            <w:proofErr w:type="spellStart"/>
            <w:r>
              <w:rPr>
                <w:sz w:val="20"/>
                <w:szCs w:val="20"/>
              </w:rPr>
              <w:t>will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require</w:t>
            </w:r>
            <w:proofErr w:type="spellEnd"/>
            <w:r>
              <w:rPr>
                <w:sz w:val="20"/>
                <w:szCs w:val="20"/>
              </w:rPr>
              <w:t xml:space="preserve"> multinational </w:t>
            </w:r>
            <w:proofErr w:type="spellStart"/>
            <w:r>
              <w:rPr>
                <w:sz w:val="20"/>
                <w:szCs w:val="20"/>
              </w:rPr>
              <w:t>enterprises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provide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aggregate</w:t>
            </w:r>
            <w:proofErr w:type="spellEnd"/>
            <w:r>
              <w:rPr>
                <w:sz w:val="20"/>
                <w:szCs w:val="20"/>
              </w:rPr>
              <w:t xml:space="preserve"> information </w:t>
            </w:r>
            <w:proofErr w:type="spellStart"/>
            <w:r>
              <w:rPr>
                <w:sz w:val="20"/>
                <w:szCs w:val="20"/>
              </w:rPr>
              <w:t>annually</w:t>
            </w:r>
            <w:proofErr w:type="spellEnd"/>
            <w:r>
              <w:rPr>
                <w:sz w:val="20"/>
                <w:szCs w:val="20"/>
              </w:rPr>
              <w:t xml:space="preserve">, in </w:t>
            </w:r>
            <w:proofErr w:type="spellStart"/>
            <w:r>
              <w:rPr>
                <w:sz w:val="20"/>
                <w:szCs w:val="20"/>
              </w:rPr>
              <w:t>each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jurisdiction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where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they</w:t>
            </w:r>
            <w:proofErr w:type="spellEnd"/>
            <w:r>
              <w:rPr>
                <w:sz w:val="20"/>
                <w:szCs w:val="20"/>
              </w:rPr>
              <w:t xml:space="preserve"> do business, </w:t>
            </w:r>
            <w:proofErr w:type="spellStart"/>
            <w:r>
              <w:rPr>
                <w:sz w:val="20"/>
                <w:szCs w:val="20"/>
              </w:rPr>
              <w:t>relating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the </w:t>
            </w:r>
            <w:proofErr w:type="spellStart"/>
            <w:r>
              <w:rPr>
                <w:sz w:val="20"/>
                <w:szCs w:val="20"/>
              </w:rPr>
              <w:t>global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allocation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income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taxes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paid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together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other</w:t>
            </w:r>
            <w:proofErr w:type="spellEnd"/>
            <w:r>
              <w:rPr>
                <w:sz w:val="20"/>
                <w:szCs w:val="20"/>
              </w:rPr>
              <w:t xml:space="preserve"> indicators of the </w:t>
            </w:r>
            <w:proofErr w:type="spellStart"/>
            <w:r>
              <w:rPr>
                <w:sz w:val="20"/>
                <w:szCs w:val="20"/>
              </w:rPr>
              <w:t>location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economic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activity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their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group</w:t>
            </w:r>
            <w:proofErr w:type="spellEnd"/>
            <w:r>
              <w:rPr>
                <w:sz w:val="20"/>
                <w:szCs w:val="20"/>
              </w:rPr>
              <w:t xml:space="preserve">, as well as information </w:t>
            </w:r>
            <w:proofErr w:type="spellStart"/>
            <w:r>
              <w:rPr>
                <w:sz w:val="20"/>
                <w:szCs w:val="20"/>
              </w:rPr>
              <w:t>about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which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entities</w:t>
            </w:r>
            <w:proofErr w:type="spellEnd"/>
            <w:r>
              <w:rPr>
                <w:sz w:val="20"/>
                <w:szCs w:val="20"/>
              </w:rPr>
              <w:t xml:space="preserve"> do business in a </w:t>
            </w:r>
            <w:proofErr w:type="spellStart"/>
            <w:r>
              <w:rPr>
                <w:sz w:val="20"/>
                <w:szCs w:val="20"/>
              </w:rPr>
              <w:t>particular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jurisdiction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the business </w:t>
            </w:r>
            <w:proofErr w:type="spellStart"/>
            <w:r>
              <w:rPr>
                <w:sz w:val="20"/>
                <w:szCs w:val="20"/>
              </w:rPr>
              <w:t>activities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each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entity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engages</w:t>
            </w:r>
            <w:proofErr w:type="spellEnd"/>
            <w:r>
              <w:rPr>
                <w:sz w:val="20"/>
                <w:szCs w:val="20"/>
              </w:rPr>
              <w:t xml:space="preserve"> in. The new </w:t>
            </w:r>
            <w:proofErr w:type="spellStart"/>
            <w:r>
              <w:rPr>
                <w:sz w:val="20"/>
                <w:szCs w:val="20"/>
              </w:rPr>
              <w:t>implementation</w:t>
            </w:r>
            <w:proofErr w:type="spellEnd"/>
            <w:r>
              <w:rPr>
                <w:sz w:val="20"/>
                <w:szCs w:val="20"/>
              </w:rPr>
              <w:t xml:space="preserve"> package </w:t>
            </w:r>
            <w:proofErr w:type="spellStart"/>
            <w:r>
              <w:rPr>
                <w:sz w:val="20"/>
                <w:szCs w:val="20"/>
              </w:rPr>
              <w:t>consists</w:t>
            </w:r>
            <w:proofErr w:type="spellEnd"/>
            <w:r>
              <w:rPr>
                <w:sz w:val="20"/>
                <w:szCs w:val="20"/>
              </w:rPr>
              <w:t xml:space="preserve"> of model </w:t>
            </w:r>
            <w:proofErr w:type="spellStart"/>
            <w:r>
              <w:rPr>
                <w:sz w:val="20"/>
                <w:szCs w:val="20"/>
              </w:rPr>
              <w:t>legislation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requiring</w:t>
            </w:r>
            <w:proofErr w:type="spellEnd"/>
            <w:r>
              <w:rPr>
                <w:sz w:val="20"/>
                <w:szCs w:val="20"/>
              </w:rPr>
              <w:t xml:space="preserve"> the ultimate </w:t>
            </w:r>
            <w:proofErr w:type="spellStart"/>
            <w:r>
              <w:rPr>
                <w:sz w:val="20"/>
                <w:szCs w:val="20"/>
              </w:rPr>
              <w:t>parent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entity</w:t>
            </w:r>
            <w:proofErr w:type="spellEnd"/>
            <w:r>
              <w:rPr>
                <w:sz w:val="20"/>
                <w:szCs w:val="20"/>
              </w:rPr>
              <w:t xml:space="preserve"> of a multinational </w:t>
            </w:r>
            <w:proofErr w:type="spellStart"/>
            <w:r>
              <w:rPr>
                <w:sz w:val="20"/>
                <w:szCs w:val="20"/>
              </w:rPr>
              <w:t>group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file the country-</w:t>
            </w:r>
            <w:proofErr w:type="spellStart"/>
            <w:r>
              <w:rPr>
                <w:sz w:val="20"/>
                <w:szCs w:val="20"/>
              </w:rPr>
              <w:t>by</w:t>
            </w:r>
            <w:proofErr w:type="spellEnd"/>
            <w:r>
              <w:rPr>
                <w:sz w:val="20"/>
                <w:szCs w:val="20"/>
              </w:rPr>
              <w:t xml:space="preserve">-country report in </w:t>
            </w:r>
            <w:proofErr w:type="spellStart"/>
            <w:r>
              <w:rPr>
                <w:sz w:val="20"/>
                <w:szCs w:val="20"/>
              </w:rPr>
              <w:t>its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jurisdiction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residence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including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backup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lastRenderedPageBreak/>
              <w:t>filing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requirements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when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jurisdiction</w:t>
            </w:r>
            <w:proofErr w:type="spellEnd"/>
            <w:r>
              <w:rPr>
                <w:sz w:val="20"/>
                <w:szCs w:val="20"/>
              </w:rPr>
              <w:t xml:space="preserve"> does </w:t>
            </w:r>
            <w:proofErr w:type="spellStart"/>
            <w:r>
              <w:rPr>
                <w:sz w:val="20"/>
                <w:szCs w:val="20"/>
              </w:rPr>
              <w:t>not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require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filing</w:t>
            </w:r>
            <w:proofErr w:type="spellEnd"/>
            <w:r>
              <w:rPr>
                <w:sz w:val="20"/>
                <w:szCs w:val="20"/>
              </w:rPr>
              <w:t xml:space="preserve">. The package </w:t>
            </w:r>
            <w:proofErr w:type="spellStart"/>
            <w:r>
              <w:rPr>
                <w:sz w:val="20"/>
                <w:szCs w:val="20"/>
              </w:rPr>
              <w:t>also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contains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three</w:t>
            </w:r>
            <w:proofErr w:type="spellEnd"/>
            <w:r>
              <w:rPr>
                <w:sz w:val="20"/>
                <w:szCs w:val="20"/>
              </w:rPr>
              <w:t xml:space="preserve"> Model Competent </w:t>
            </w:r>
            <w:proofErr w:type="spellStart"/>
            <w:r>
              <w:rPr>
                <w:sz w:val="20"/>
                <w:szCs w:val="20"/>
              </w:rPr>
              <w:t>Authority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Agreements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facilitate</w:t>
            </w:r>
            <w:proofErr w:type="spellEnd"/>
            <w:r>
              <w:rPr>
                <w:sz w:val="20"/>
                <w:szCs w:val="20"/>
              </w:rPr>
              <w:t xml:space="preserve"> the exchange of country-</w:t>
            </w:r>
            <w:proofErr w:type="spellStart"/>
            <w:r>
              <w:rPr>
                <w:sz w:val="20"/>
                <w:szCs w:val="20"/>
              </w:rPr>
              <w:t>by</w:t>
            </w:r>
            <w:proofErr w:type="spellEnd"/>
            <w:r>
              <w:rPr>
                <w:sz w:val="20"/>
                <w:szCs w:val="20"/>
              </w:rPr>
              <w:t xml:space="preserve">-country </w:t>
            </w:r>
            <w:proofErr w:type="spellStart"/>
            <w:r>
              <w:rPr>
                <w:sz w:val="20"/>
                <w:szCs w:val="20"/>
              </w:rPr>
              <w:t>reports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among</w:t>
            </w:r>
            <w:proofErr w:type="spellEnd"/>
            <w:r>
              <w:rPr>
                <w:sz w:val="20"/>
                <w:szCs w:val="20"/>
              </w:rPr>
              <w:t xml:space="preserve"> tax </w:t>
            </w:r>
            <w:proofErr w:type="spellStart"/>
            <w:r>
              <w:rPr>
                <w:sz w:val="20"/>
                <w:szCs w:val="20"/>
              </w:rPr>
              <w:t>administration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94C9C" w:rsidRDefault="00194C9C">
            <w:pPr>
              <w:pStyle w:val="Lijstalinea"/>
              <w:spacing w:line="276" w:lineRule="auto"/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Reporting </w:t>
            </w:r>
            <w:proofErr w:type="spellStart"/>
            <w:r>
              <w:rPr>
                <w:sz w:val="20"/>
                <w:szCs w:val="20"/>
              </w:rPr>
              <w:t>by</w:t>
            </w:r>
            <w:proofErr w:type="spellEnd"/>
            <w:r>
              <w:rPr>
                <w:sz w:val="20"/>
                <w:szCs w:val="20"/>
              </w:rPr>
              <w:t xml:space="preserve"> companies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tax </w:t>
            </w:r>
            <w:proofErr w:type="spellStart"/>
            <w:r>
              <w:rPr>
                <w:sz w:val="20"/>
                <w:szCs w:val="20"/>
              </w:rPr>
              <w:t>administrations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should</w:t>
            </w:r>
            <w:proofErr w:type="spellEnd"/>
            <w:r>
              <w:rPr>
                <w:sz w:val="20"/>
                <w:szCs w:val="20"/>
              </w:rPr>
              <w:t xml:space="preserve"> start in 2016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the </w:t>
            </w:r>
            <w:proofErr w:type="spellStart"/>
            <w:r>
              <w:rPr>
                <w:sz w:val="20"/>
                <w:szCs w:val="20"/>
              </w:rPr>
              <w:t>government-to-government</w:t>
            </w:r>
            <w:proofErr w:type="spellEnd"/>
            <w:r>
              <w:rPr>
                <w:sz w:val="20"/>
                <w:szCs w:val="20"/>
              </w:rPr>
              <w:t xml:space="preserve"> information exchange in 2017.</w:t>
            </w:r>
          </w:p>
          <w:p w:rsidR="00194C9C" w:rsidRDefault="00194C9C">
            <w:pPr>
              <w:pStyle w:val="Lijstalinea"/>
              <w:spacing w:line="276" w:lineRule="auto"/>
              <w:ind w:left="426"/>
              <w:rPr>
                <w:sz w:val="20"/>
                <w:szCs w:val="20"/>
              </w:rPr>
            </w:pPr>
          </w:p>
          <w:p w:rsidR="00194C9C" w:rsidRDefault="00194C9C">
            <w:pPr>
              <w:pStyle w:val="Lijstalinea"/>
              <w:spacing w:line="276" w:lineRule="auto"/>
              <w:ind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  </w:t>
            </w:r>
            <w:proofErr w:type="spellStart"/>
            <w:r>
              <w:rPr>
                <w:sz w:val="20"/>
                <w:szCs w:val="20"/>
              </w:rPr>
              <w:t>Implementation</w:t>
            </w:r>
            <w:proofErr w:type="spellEnd"/>
            <w:r>
              <w:rPr>
                <w:sz w:val="20"/>
                <w:szCs w:val="20"/>
              </w:rPr>
              <w:t xml:space="preserve"> package: </w:t>
            </w:r>
            <w:hyperlink r:id="rId20" w:history="1">
              <w:r>
                <w:rPr>
                  <w:rStyle w:val="Hyperlink"/>
                  <w:sz w:val="20"/>
                  <w:szCs w:val="20"/>
                </w:rPr>
                <w:t>EN</w:t>
              </w:r>
            </w:hyperlink>
          </w:p>
          <w:p w:rsidR="00194C9C" w:rsidRDefault="00194C9C">
            <w:pPr>
              <w:pStyle w:val="Lijstalinea"/>
              <w:spacing w:line="276" w:lineRule="auto"/>
              <w:ind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  </w:t>
            </w:r>
            <w:r>
              <w:rPr>
                <w:sz w:val="20"/>
                <w:szCs w:val="20"/>
              </w:rPr>
              <w:t xml:space="preserve">Press release, 8 </w:t>
            </w:r>
            <w:proofErr w:type="spellStart"/>
            <w:r>
              <w:rPr>
                <w:sz w:val="20"/>
                <w:szCs w:val="20"/>
              </w:rPr>
              <w:t>June</w:t>
            </w:r>
            <w:proofErr w:type="spellEnd"/>
            <w:r>
              <w:rPr>
                <w:sz w:val="20"/>
                <w:szCs w:val="20"/>
              </w:rPr>
              <w:t xml:space="preserve"> 2015: </w:t>
            </w:r>
            <w:hyperlink r:id="rId21" w:history="1">
              <w:r>
                <w:rPr>
                  <w:rStyle w:val="Hyperlink"/>
                  <w:sz w:val="20"/>
                  <w:szCs w:val="20"/>
                </w:rPr>
                <w:t>EN</w:t>
              </w:r>
            </w:hyperlink>
            <w:r>
              <w:rPr>
                <w:sz w:val="20"/>
                <w:szCs w:val="20"/>
              </w:rPr>
              <w:t xml:space="preserve"> (FR </w:t>
            </w:r>
            <w:proofErr w:type="spellStart"/>
            <w:r>
              <w:rPr>
                <w:sz w:val="20"/>
                <w:szCs w:val="20"/>
              </w:rPr>
              <w:t>available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194C9C" w:rsidRDefault="00194C9C">
            <w:pPr>
              <w:pStyle w:val="Lijstalinea"/>
              <w:spacing w:line="276" w:lineRule="auto"/>
              <w:ind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  </w:t>
            </w:r>
            <w:proofErr w:type="spellStart"/>
            <w:r>
              <w:rPr>
                <w:sz w:val="20"/>
                <w:szCs w:val="20"/>
              </w:rPr>
              <w:t>Guidance</w:t>
            </w:r>
            <w:proofErr w:type="spellEnd"/>
            <w:r>
              <w:rPr>
                <w:sz w:val="20"/>
                <w:szCs w:val="20"/>
              </w:rPr>
              <w:t xml:space="preserve"> on the </w:t>
            </w:r>
            <w:proofErr w:type="spellStart"/>
            <w:r>
              <w:rPr>
                <w:sz w:val="20"/>
                <w:szCs w:val="20"/>
              </w:rPr>
              <w:t>Implementation</w:t>
            </w:r>
            <w:proofErr w:type="spellEnd"/>
            <w:r>
              <w:rPr>
                <w:sz w:val="20"/>
                <w:szCs w:val="20"/>
              </w:rPr>
              <w:t xml:space="preserve"> of Transfer Pricing </w:t>
            </w:r>
            <w:proofErr w:type="spellStart"/>
            <w:r>
              <w:rPr>
                <w:sz w:val="20"/>
                <w:szCs w:val="20"/>
              </w:rPr>
              <w:t>Documentation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Country-</w:t>
            </w:r>
            <w:proofErr w:type="spellStart"/>
            <w:r>
              <w:rPr>
                <w:sz w:val="20"/>
                <w:szCs w:val="20"/>
              </w:rPr>
              <w:t>by</w:t>
            </w:r>
            <w:proofErr w:type="spellEnd"/>
            <w:r>
              <w:rPr>
                <w:sz w:val="20"/>
                <w:szCs w:val="20"/>
              </w:rPr>
              <w:t xml:space="preserve">-Country Reporting </w:t>
            </w:r>
            <w:proofErr w:type="spellStart"/>
            <w:r>
              <w:rPr>
                <w:sz w:val="20"/>
                <w:szCs w:val="20"/>
              </w:rPr>
              <w:t>Proposals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February</w:t>
            </w:r>
            <w:proofErr w:type="spellEnd"/>
            <w:r>
              <w:rPr>
                <w:sz w:val="20"/>
                <w:szCs w:val="20"/>
              </w:rPr>
              <w:t xml:space="preserve"> 2015: </w:t>
            </w:r>
            <w:hyperlink r:id="rId22" w:history="1">
              <w:r>
                <w:rPr>
                  <w:rStyle w:val="Hyperlink"/>
                  <w:sz w:val="20"/>
                  <w:szCs w:val="20"/>
                </w:rPr>
                <w:t>EN</w:t>
              </w:r>
            </w:hyperlink>
            <w:r>
              <w:rPr>
                <w:sz w:val="20"/>
                <w:szCs w:val="20"/>
              </w:rPr>
              <w:t xml:space="preserve"> / </w:t>
            </w:r>
            <w:hyperlink r:id="rId23" w:tgtFrame="_blank" w:tooltip="Home &amp;raquo; OCDE &amp;raquo; Directions &amp;raquo; Centre de politique et d&amp;amp;#39;administration fiscales: Instructions relatives &amp;agrave; la documentation des prix de transfert et aux d&amp;eacute;clarations pays par pays - fr" w:history="1">
              <w:r>
                <w:rPr>
                  <w:rStyle w:val="Hyperlink"/>
                  <w:sz w:val="20"/>
                  <w:szCs w:val="20"/>
                </w:rPr>
                <w:t>FR</w:t>
              </w:r>
            </w:hyperlink>
            <w:r>
              <w:rPr>
                <w:sz w:val="20"/>
                <w:szCs w:val="20"/>
              </w:rPr>
              <w:t xml:space="preserve"> / </w:t>
            </w:r>
            <w:hyperlink r:id="rId24" w:tgtFrame="_blank" w:history="1">
              <w:r>
                <w:rPr>
                  <w:rStyle w:val="Hyperlink"/>
                  <w:sz w:val="20"/>
                  <w:szCs w:val="20"/>
                </w:rPr>
                <w:t>DE</w:t>
              </w:r>
            </w:hyperlink>
            <w:r>
              <w:rPr>
                <w:sz w:val="20"/>
                <w:szCs w:val="20"/>
              </w:rPr>
              <w:t xml:space="preserve"> / </w:t>
            </w:r>
            <w:hyperlink r:id="rId25" w:history="1">
              <w:r>
                <w:rPr>
                  <w:rStyle w:val="Hyperlink"/>
                  <w:sz w:val="20"/>
                  <w:szCs w:val="20"/>
                </w:rPr>
                <w:t>ES</w:t>
              </w:r>
            </w:hyperlink>
          </w:p>
          <w:p w:rsidR="00194C9C" w:rsidRDefault="00194C9C">
            <w:pPr>
              <w:pStyle w:val="Lijstalinea"/>
              <w:spacing w:line="276" w:lineRule="auto"/>
              <w:ind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  </w:t>
            </w:r>
            <w:proofErr w:type="spellStart"/>
            <w:r>
              <w:rPr>
                <w:sz w:val="20"/>
                <w:szCs w:val="20"/>
              </w:rPr>
              <w:t>Guidance</w:t>
            </w:r>
            <w:proofErr w:type="spellEnd"/>
            <w:r>
              <w:rPr>
                <w:sz w:val="20"/>
                <w:szCs w:val="20"/>
              </w:rPr>
              <w:t xml:space="preserve"> on Transfer Pricing </w:t>
            </w:r>
            <w:proofErr w:type="spellStart"/>
            <w:r>
              <w:rPr>
                <w:sz w:val="20"/>
                <w:szCs w:val="20"/>
              </w:rPr>
              <w:t>Documentation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Country-</w:t>
            </w:r>
            <w:proofErr w:type="spellStart"/>
            <w:r>
              <w:rPr>
                <w:sz w:val="20"/>
                <w:szCs w:val="20"/>
              </w:rPr>
              <w:t>by</w:t>
            </w:r>
            <w:proofErr w:type="spellEnd"/>
            <w:r>
              <w:rPr>
                <w:sz w:val="20"/>
                <w:szCs w:val="20"/>
              </w:rPr>
              <w:t xml:space="preserve">-Country Reporting, September 2014: </w:t>
            </w:r>
            <w:hyperlink r:id="rId26" w:history="1">
              <w:r>
                <w:rPr>
                  <w:rStyle w:val="Hyperlink"/>
                  <w:sz w:val="20"/>
                  <w:szCs w:val="20"/>
                </w:rPr>
                <w:t>EN</w:t>
              </w:r>
            </w:hyperlink>
            <w:r>
              <w:rPr>
                <w:sz w:val="20"/>
                <w:szCs w:val="20"/>
              </w:rPr>
              <w:t xml:space="preserve"> / FR</w:t>
            </w:r>
          </w:p>
          <w:p w:rsidR="00194C9C" w:rsidRDefault="00194C9C">
            <w:pPr>
              <w:pStyle w:val="Lijstalinea"/>
              <w:spacing w:line="276" w:lineRule="auto"/>
              <w:rPr>
                <w:sz w:val="20"/>
                <w:szCs w:val="20"/>
              </w:rPr>
            </w:pPr>
          </w:p>
          <w:p w:rsidR="00194C9C" w:rsidRDefault="00194C9C">
            <w:pPr>
              <w:pStyle w:val="Lijstalinea"/>
              <w:spacing w:line="276" w:lineRule="auto"/>
              <w:rPr>
                <w:sz w:val="20"/>
                <w:szCs w:val="20"/>
              </w:rPr>
            </w:pPr>
          </w:p>
          <w:p w:rsidR="00194C9C" w:rsidRDefault="00194C9C">
            <w:pPr>
              <w:pStyle w:val="Lijstalinea"/>
              <w:spacing w:line="276" w:lineRule="auto"/>
              <w:ind w:hanging="43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         </w:t>
            </w:r>
            <w:r>
              <w:rPr>
                <w:b/>
                <w:bCs/>
                <w:sz w:val="20"/>
                <w:szCs w:val="20"/>
              </w:rPr>
              <w:t xml:space="preserve">OECD </w:t>
            </w:r>
            <w:proofErr w:type="spellStart"/>
            <w:r>
              <w:rPr>
                <w:b/>
                <w:bCs/>
                <w:sz w:val="20"/>
                <w:szCs w:val="20"/>
              </w:rPr>
              <w:t>consults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on transfer pricing of hard-</w:t>
            </w:r>
            <w:proofErr w:type="spellStart"/>
            <w:r>
              <w:rPr>
                <w:b/>
                <w:bCs/>
                <w:sz w:val="20"/>
                <w:szCs w:val="20"/>
              </w:rPr>
              <w:t>to</w:t>
            </w:r>
            <w:proofErr w:type="spellEnd"/>
            <w:r>
              <w:rPr>
                <w:b/>
                <w:bCs/>
                <w:sz w:val="20"/>
                <w:szCs w:val="20"/>
              </w:rPr>
              <w:t>-</w:t>
            </w:r>
            <w:proofErr w:type="spellStart"/>
            <w:r>
              <w:rPr>
                <w:b/>
                <w:bCs/>
                <w:sz w:val="20"/>
                <w:szCs w:val="20"/>
              </w:rPr>
              <w:t>value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intangibles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(BEPS Action 8)</w:t>
            </w:r>
          </w:p>
          <w:p w:rsidR="00194C9C" w:rsidRDefault="00194C9C">
            <w:pPr>
              <w:pStyle w:val="Lijstalinea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194C9C" w:rsidRDefault="00194C9C">
            <w:pPr>
              <w:pStyle w:val="Lijstalinea"/>
              <w:spacing w:line="276" w:lineRule="auto"/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 4 </w:t>
            </w:r>
            <w:proofErr w:type="spellStart"/>
            <w:r>
              <w:rPr>
                <w:sz w:val="20"/>
                <w:szCs w:val="20"/>
              </w:rPr>
              <w:t>June</w:t>
            </w:r>
            <w:proofErr w:type="spellEnd"/>
            <w:r>
              <w:rPr>
                <w:sz w:val="20"/>
                <w:szCs w:val="20"/>
              </w:rPr>
              <w:t xml:space="preserve"> 2015, the OECD </w:t>
            </w:r>
            <w:proofErr w:type="spellStart"/>
            <w:r>
              <w:rPr>
                <w:sz w:val="20"/>
                <w:szCs w:val="20"/>
              </w:rPr>
              <w:t>opened</w:t>
            </w:r>
            <w:proofErr w:type="spellEnd"/>
            <w:r>
              <w:rPr>
                <w:sz w:val="20"/>
                <w:szCs w:val="20"/>
              </w:rPr>
              <w:t xml:space="preserve"> a public </w:t>
            </w:r>
            <w:proofErr w:type="spellStart"/>
            <w:r>
              <w:rPr>
                <w:sz w:val="20"/>
                <w:szCs w:val="20"/>
              </w:rPr>
              <w:t>consultation</w:t>
            </w:r>
            <w:proofErr w:type="spellEnd"/>
            <w:r>
              <w:rPr>
                <w:sz w:val="20"/>
                <w:szCs w:val="20"/>
              </w:rPr>
              <w:t xml:space="preserve"> on </w:t>
            </w:r>
            <w:proofErr w:type="spellStart"/>
            <w:r>
              <w:rPr>
                <w:sz w:val="20"/>
                <w:szCs w:val="20"/>
              </w:rPr>
              <w:t>its</w:t>
            </w:r>
            <w:proofErr w:type="spellEnd"/>
            <w:r>
              <w:rPr>
                <w:sz w:val="20"/>
                <w:szCs w:val="20"/>
              </w:rPr>
              <w:t xml:space="preserve"> new </w:t>
            </w:r>
            <w:proofErr w:type="spellStart"/>
            <w:r>
              <w:rPr>
                <w:sz w:val="20"/>
                <w:szCs w:val="20"/>
              </w:rPr>
              <w:t>discussion</w:t>
            </w:r>
            <w:proofErr w:type="spellEnd"/>
            <w:r>
              <w:rPr>
                <w:sz w:val="20"/>
                <w:szCs w:val="20"/>
              </w:rPr>
              <w:t xml:space="preserve"> draft on transfer pricing </w:t>
            </w:r>
            <w:proofErr w:type="spellStart"/>
            <w:r>
              <w:rPr>
                <w:sz w:val="20"/>
                <w:szCs w:val="20"/>
              </w:rPr>
              <w:t>rules</w:t>
            </w:r>
            <w:proofErr w:type="spellEnd"/>
            <w:r>
              <w:rPr>
                <w:sz w:val="20"/>
                <w:szCs w:val="20"/>
              </w:rPr>
              <w:t xml:space="preserve"> or special </w:t>
            </w:r>
            <w:proofErr w:type="spellStart"/>
            <w:r>
              <w:rPr>
                <w:sz w:val="20"/>
                <w:szCs w:val="20"/>
              </w:rPr>
              <w:t>measures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hard-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value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intangibles</w:t>
            </w:r>
            <w:proofErr w:type="spellEnd"/>
            <w:r>
              <w:rPr>
                <w:sz w:val="20"/>
                <w:szCs w:val="20"/>
              </w:rPr>
              <w:t xml:space="preserve">, as part of </w:t>
            </w:r>
            <w:proofErr w:type="spellStart"/>
            <w:r>
              <w:rPr>
                <w:sz w:val="20"/>
                <w:szCs w:val="20"/>
              </w:rPr>
              <w:t>its</w:t>
            </w:r>
            <w:proofErr w:type="spellEnd"/>
            <w:r>
              <w:rPr>
                <w:sz w:val="20"/>
                <w:szCs w:val="20"/>
              </w:rPr>
              <w:t xml:space="preserve"> BEPS Action Plan (Action 8). The </w:t>
            </w:r>
            <w:proofErr w:type="spellStart"/>
            <w:r>
              <w:rPr>
                <w:sz w:val="20"/>
                <w:szCs w:val="20"/>
              </w:rPr>
              <w:t>discussion</w:t>
            </w:r>
            <w:proofErr w:type="spellEnd"/>
            <w:r>
              <w:rPr>
                <w:sz w:val="20"/>
                <w:szCs w:val="20"/>
              </w:rPr>
              <w:t xml:space="preserve"> draft </w:t>
            </w:r>
            <w:proofErr w:type="spellStart"/>
            <w:r>
              <w:rPr>
                <w:sz w:val="20"/>
                <w:szCs w:val="20"/>
              </w:rPr>
              <w:t>proposes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revisions</w:t>
            </w:r>
            <w:proofErr w:type="spellEnd"/>
            <w:r>
              <w:rPr>
                <w:sz w:val="20"/>
                <w:szCs w:val="20"/>
              </w:rPr>
              <w:t xml:space="preserve"> of the BEPS Report “</w:t>
            </w:r>
            <w:proofErr w:type="spellStart"/>
            <w:r>
              <w:rPr>
                <w:sz w:val="20"/>
                <w:szCs w:val="20"/>
              </w:rPr>
              <w:t>Guidance</w:t>
            </w:r>
            <w:proofErr w:type="spellEnd"/>
            <w:r>
              <w:rPr>
                <w:sz w:val="20"/>
                <w:szCs w:val="20"/>
              </w:rPr>
              <w:t xml:space="preserve"> on Transfer Pricing </w:t>
            </w:r>
            <w:proofErr w:type="spellStart"/>
            <w:r>
              <w:rPr>
                <w:sz w:val="20"/>
                <w:szCs w:val="20"/>
              </w:rPr>
              <w:t>Aspects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Intangibles</w:t>
            </w:r>
            <w:proofErr w:type="spellEnd"/>
            <w:r>
              <w:rPr>
                <w:sz w:val="20"/>
                <w:szCs w:val="20"/>
              </w:rPr>
              <w:t xml:space="preserve">” of September 2014. The </w:t>
            </w:r>
            <w:proofErr w:type="spellStart"/>
            <w:r>
              <w:rPr>
                <w:sz w:val="20"/>
                <w:szCs w:val="20"/>
              </w:rPr>
              <w:t>consultation</w:t>
            </w:r>
            <w:proofErr w:type="spellEnd"/>
            <w:r>
              <w:rPr>
                <w:sz w:val="20"/>
                <w:szCs w:val="20"/>
              </w:rPr>
              <w:t xml:space="preserve"> is open </w:t>
            </w:r>
            <w:proofErr w:type="spellStart"/>
            <w:r>
              <w:rPr>
                <w:sz w:val="20"/>
                <w:szCs w:val="20"/>
              </w:rPr>
              <w:t>until</w:t>
            </w:r>
            <w:proofErr w:type="spellEnd"/>
            <w:r>
              <w:rPr>
                <w:sz w:val="20"/>
                <w:szCs w:val="20"/>
              </w:rPr>
              <w:t xml:space="preserve"> 18 </w:t>
            </w:r>
            <w:proofErr w:type="spellStart"/>
            <w:r>
              <w:rPr>
                <w:sz w:val="20"/>
                <w:szCs w:val="20"/>
              </w:rPr>
              <w:t>June</w:t>
            </w:r>
            <w:proofErr w:type="spellEnd"/>
            <w:r>
              <w:rPr>
                <w:sz w:val="20"/>
                <w:szCs w:val="20"/>
              </w:rPr>
              <w:t xml:space="preserve"> 2015.</w:t>
            </w:r>
          </w:p>
          <w:p w:rsidR="00194C9C" w:rsidRDefault="00194C9C">
            <w:pPr>
              <w:pStyle w:val="Lijstalinea"/>
              <w:spacing w:line="276" w:lineRule="auto"/>
              <w:rPr>
                <w:sz w:val="20"/>
                <w:szCs w:val="20"/>
              </w:rPr>
            </w:pPr>
          </w:p>
          <w:p w:rsidR="00194C9C" w:rsidRDefault="00194C9C">
            <w:pPr>
              <w:pStyle w:val="Lijstalinea"/>
              <w:spacing w:line="276" w:lineRule="auto"/>
              <w:ind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  </w:t>
            </w:r>
            <w:proofErr w:type="spellStart"/>
            <w:r>
              <w:rPr>
                <w:sz w:val="20"/>
                <w:szCs w:val="20"/>
              </w:rPr>
              <w:t>Discussion</w:t>
            </w:r>
            <w:proofErr w:type="spellEnd"/>
            <w:r>
              <w:rPr>
                <w:sz w:val="20"/>
                <w:szCs w:val="20"/>
              </w:rPr>
              <w:t xml:space="preserve"> draft: </w:t>
            </w:r>
            <w:hyperlink r:id="rId27" w:history="1">
              <w:r>
                <w:rPr>
                  <w:rStyle w:val="Hyperlink"/>
                  <w:sz w:val="20"/>
                  <w:szCs w:val="20"/>
                </w:rPr>
                <w:t>EN</w:t>
              </w:r>
            </w:hyperlink>
          </w:p>
          <w:p w:rsidR="00194C9C" w:rsidRDefault="00194C9C">
            <w:pPr>
              <w:pStyle w:val="Lijstalinea"/>
              <w:spacing w:line="276" w:lineRule="auto"/>
              <w:ind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  </w:t>
            </w:r>
            <w:r>
              <w:rPr>
                <w:sz w:val="20"/>
                <w:szCs w:val="20"/>
              </w:rPr>
              <w:t xml:space="preserve">Press release, 4 </w:t>
            </w:r>
            <w:proofErr w:type="spellStart"/>
            <w:r>
              <w:rPr>
                <w:sz w:val="20"/>
                <w:szCs w:val="20"/>
              </w:rPr>
              <w:t>June</w:t>
            </w:r>
            <w:proofErr w:type="spellEnd"/>
            <w:r>
              <w:rPr>
                <w:sz w:val="20"/>
                <w:szCs w:val="20"/>
              </w:rPr>
              <w:t xml:space="preserve"> 2015: </w:t>
            </w:r>
            <w:hyperlink r:id="rId28" w:history="1">
              <w:r>
                <w:rPr>
                  <w:rStyle w:val="Hyperlink"/>
                  <w:sz w:val="20"/>
                  <w:szCs w:val="20"/>
                </w:rPr>
                <w:t>EN</w:t>
              </w:r>
            </w:hyperlink>
            <w:r>
              <w:rPr>
                <w:sz w:val="20"/>
                <w:szCs w:val="20"/>
              </w:rPr>
              <w:t xml:space="preserve"> / </w:t>
            </w:r>
            <w:hyperlink r:id="rId29" w:history="1">
              <w:r>
                <w:rPr>
                  <w:rStyle w:val="Hyperlink"/>
                  <w:sz w:val="20"/>
                  <w:szCs w:val="20"/>
                </w:rPr>
                <w:t>FR</w:t>
              </w:r>
            </w:hyperlink>
          </w:p>
          <w:p w:rsidR="00194C9C" w:rsidRDefault="00194C9C">
            <w:pPr>
              <w:pStyle w:val="Lijstalinea"/>
              <w:spacing w:line="276" w:lineRule="auto"/>
              <w:ind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  </w:t>
            </w:r>
            <w:proofErr w:type="spellStart"/>
            <w:r>
              <w:rPr>
                <w:sz w:val="20"/>
                <w:szCs w:val="20"/>
              </w:rPr>
              <w:t>Guidance</w:t>
            </w:r>
            <w:proofErr w:type="spellEnd"/>
            <w:r>
              <w:rPr>
                <w:sz w:val="20"/>
                <w:szCs w:val="20"/>
              </w:rPr>
              <w:t xml:space="preserve"> on Transfer Pricing </w:t>
            </w:r>
            <w:proofErr w:type="spellStart"/>
            <w:r>
              <w:rPr>
                <w:sz w:val="20"/>
                <w:szCs w:val="20"/>
              </w:rPr>
              <w:t>Aspects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Intangibles</w:t>
            </w:r>
            <w:proofErr w:type="spellEnd"/>
            <w:r>
              <w:rPr>
                <w:sz w:val="20"/>
                <w:szCs w:val="20"/>
              </w:rPr>
              <w:t xml:space="preserve">, September 2014 : </w:t>
            </w:r>
            <w:hyperlink r:id="rId30" w:tgtFrame="_blank" w:history="1">
              <w:r>
                <w:rPr>
                  <w:rStyle w:val="Hyperlink"/>
                  <w:sz w:val="20"/>
                  <w:szCs w:val="20"/>
                </w:rPr>
                <w:t>EN</w:t>
              </w:r>
            </w:hyperlink>
            <w:r>
              <w:rPr>
                <w:sz w:val="20"/>
                <w:szCs w:val="20"/>
              </w:rPr>
              <w:t xml:space="preserve"> / </w:t>
            </w:r>
            <w:hyperlink r:id="rId31" w:tgtFrame="_blank" w:tooltip="Home &amp;raquo; OCDE &amp;raquo; Directions &amp;raquo; Centre de politique et d&amp;amp;#39;administration fiscales: Instructions relatives aux aspects int&amp;eacute;ressant les prix de transfert des actifs incorporels - fr" w:history="1">
              <w:r>
                <w:rPr>
                  <w:rStyle w:val="Hyperlink"/>
                  <w:sz w:val="20"/>
                  <w:szCs w:val="20"/>
                </w:rPr>
                <w:t>FR</w:t>
              </w:r>
            </w:hyperlink>
          </w:p>
          <w:p w:rsidR="00194C9C" w:rsidRDefault="00194C9C">
            <w:pPr>
              <w:spacing w:line="276" w:lineRule="auto"/>
              <w:rPr>
                <w:sz w:val="20"/>
                <w:szCs w:val="20"/>
              </w:rPr>
            </w:pPr>
          </w:p>
          <w:p w:rsidR="00194C9C" w:rsidRDefault="00194C9C">
            <w:pPr>
              <w:spacing w:line="276" w:lineRule="auto"/>
              <w:rPr>
                <w:sz w:val="20"/>
                <w:szCs w:val="20"/>
              </w:rPr>
            </w:pPr>
          </w:p>
          <w:p w:rsidR="00194C9C" w:rsidRDefault="00194C9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*****</w:t>
            </w:r>
          </w:p>
          <w:p w:rsidR="00194C9C" w:rsidRDefault="00194C9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194C9C" w:rsidRDefault="00194C9C">
            <w:pPr>
              <w:spacing w:line="276" w:lineRule="auto"/>
              <w:ind w:left="12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The </w:t>
            </w:r>
            <w:proofErr w:type="spellStart"/>
            <w:r>
              <w:rPr>
                <w:i/>
                <w:iCs/>
                <w:sz w:val="20"/>
                <w:szCs w:val="20"/>
              </w:rPr>
              <w:t>selection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of the </w:t>
            </w:r>
            <w:proofErr w:type="spellStart"/>
            <w:r>
              <w:rPr>
                <w:i/>
                <w:iCs/>
                <w:sz w:val="20"/>
                <w:szCs w:val="20"/>
              </w:rPr>
              <w:t>remitted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material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has been </w:t>
            </w:r>
            <w:proofErr w:type="spellStart"/>
            <w:r>
              <w:rPr>
                <w:i/>
                <w:iCs/>
                <w:sz w:val="20"/>
                <w:szCs w:val="20"/>
              </w:rPr>
              <w:t>prepared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by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Piergiorgio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Valente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/ </w:t>
            </w:r>
            <w:proofErr w:type="spellStart"/>
            <w:r>
              <w:rPr>
                <w:i/>
                <w:iCs/>
                <w:sz w:val="20"/>
                <w:szCs w:val="20"/>
              </w:rPr>
              <w:t>Filipa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Correia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/ Rudolf </w:t>
            </w:r>
            <w:proofErr w:type="spellStart"/>
            <w:r>
              <w:rPr>
                <w:i/>
                <w:iCs/>
                <w:sz w:val="20"/>
                <w:szCs w:val="20"/>
              </w:rPr>
              <w:t>Reibel</w:t>
            </w:r>
            <w:proofErr w:type="spellEnd"/>
          </w:p>
          <w:p w:rsidR="00194C9C" w:rsidRDefault="00194C9C">
            <w:pPr>
              <w:spacing w:line="276" w:lineRule="auto"/>
              <w:ind w:left="126"/>
              <w:jc w:val="center"/>
              <w:rPr>
                <w:i/>
                <w:iCs/>
                <w:sz w:val="20"/>
                <w:szCs w:val="20"/>
              </w:rPr>
            </w:pPr>
          </w:p>
          <w:p w:rsidR="00194C9C" w:rsidRDefault="00194C9C">
            <w:pPr>
              <w:spacing w:line="276" w:lineRule="auto"/>
              <w:ind w:left="126"/>
              <w:jc w:val="center"/>
              <w:rPr>
                <w:color w:val="0000FF"/>
                <w:u w:val="single"/>
                <w:lang w:eastAsia="fr-BE"/>
              </w:rPr>
            </w:pPr>
            <w:hyperlink r:id="rId32" w:history="1">
              <w:r>
                <w:rPr>
                  <w:rStyle w:val="Hyperlink"/>
                  <w:i/>
                  <w:iCs/>
                  <w:sz w:val="20"/>
                  <w:szCs w:val="20"/>
                </w:rPr>
                <w:t>www.cfe-eutax.org</w:t>
              </w:r>
            </w:hyperlink>
          </w:p>
          <w:p w:rsidR="00194C9C" w:rsidRDefault="00194C9C">
            <w:pPr>
              <w:spacing w:line="276" w:lineRule="auto"/>
              <w:ind w:left="126"/>
              <w:jc w:val="center"/>
              <w:rPr>
                <w:i/>
                <w:iCs/>
                <w:color w:val="0000FF"/>
                <w:sz w:val="20"/>
                <w:szCs w:val="20"/>
                <w:u w:val="single"/>
              </w:rPr>
            </w:pPr>
          </w:p>
          <w:p w:rsidR="00194C9C" w:rsidRDefault="00194C9C">
            <w:pPr>
              <w:spacing w:line="276" w:lineRule="auto"/>
              <w:ind w:left="126"/>
              <w:jc w:val="center"/>
              <w:rPr>
                <w:lang w:val="en-US" w:eastAsia="fr-BE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Follow us on</w:t>
            </w:r>
            <w:r>
              <w:rPr>
                <w:i/>
                <w:iCs/>
                <w:color w:val="FF0000"/>
                <w:sz w:val="20"/>
                <w:szCs w:val="20"/>
                <w:lang w:val="en-US"/>
              </w:rPr>
              <w:t xml:space="preserve"> </w:t>
            </w:r>
            <w:hyperlink r:id="rId33" w:history="1">
              <w:r>
                <w:rPr>
                  <w:rStyle w:val="Hyperlink"/>
                  <w:sz w:val="20"/>
                  <w:szCs w:val="20"/>
                  <w:lang w:val="en-US"/>
                </w:rPr>
                <w:t>Linked in</w:t>
              </w:r>
            </w:hyperlink>
            <w:r>
              <w:rPr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  <w:lang w:eastAsia="nl-NL"/>
              </w:rPr>
              <w:drawing>
                <wp:inline distT="0" distB="0" distL="0" distR="0">
                  <wp:extent cx="200025" cy="190500"/>
                  <wp:effectExtent l="0" t="0" r="9525" b="0"/>
                  <wp:docPr id="1" name="Afbeelding 1" descr="cid:image002.png@01D05A62.500B7F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2.png@01D05A62.500B7F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r:link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194C9C" w:rsidTr="00194C9C">
        <w:trPr>
          <w:trHeight w:val="20"/>
          <w:tblCellSpacing w:w="0" w:type="dxa"/>
        </w:trPr>
        <w:tc>
          <w:tcPr>
            <w:tcW w:w="9702" w:type="dxa"/>
            <w:tcBorders>
              <w:top w:val="nil"/>
              <w:left w:val="nil"/>
              <w:bottom w:val="nil"/>
              <w:right w:val="nil"/>
            </w:tcBorders>
            <w:tcMar>
              <w:top w:w="375" w:type="dxa"/>
              <w:left w:w="300" w:type="dxa"/>
              <w:bottom w:w="300" w:type="dxa"/>
              <w:right w:w="300" w:type="dxa"/>
            </w:tcMar>
            <w:vAlign w:val="center"/>
          </w:tcPr>
          <w:p w:rsidR="00194C9C" w:rsidRDefault="00194C9C">
            <w:pPr>
              <w:spacing w:line="276" w:lineRule="auto"/>
              <w:jc w:val="both"/>
              <w:rPr>
                <w:sz w:val="2"/>
                <w:szCs w:val="20"/>
                <w:lang w:val="en-US" w:eastAsia="fr-BE"/>
              </w:rPr>
            </w:pPr>
          </w:p>
        </w:tc>
      </w:tr>
    </w:tbl>
    <w:p w:rsidR="00194C9C" w:rsidRDefault="00194C9C" w:rsidP="00194C9C">
      <w:pPr>
        <w:rPr>
          <w:color w:val="1F497D"/>
          <w:lang w:val="en-GB"/>
        </w:rPr>
      </w:pPr>
    </w:p>
    <w:p w:rsidR="00667086" w:rsidRDefault="00667086">
      <w:bookmarkStart w:id="0" w:name="_GoBack"/>
      <w:bookmarkEnd w:id="0"/>
    </w:p>
    <w:sectPr w:rsidR="00667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9C"/>
    <w:rsid w:val="00194C9C"/>
    <w:rsid w:val="0066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94C9C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194C9C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194C9C"/>
    <w:pPr>
      <w:ind w:left="720"/>
    </w:pPr>
    <w:rPr>
      <w:lang w:eastAsia="fr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94C9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4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94C9C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194C9C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194C9C"/>
    <w:pPr>
      <w:ind w:left="720"/>
    </w:pPr>
    <w:rPr>
      <w:lang w:eastAsia="fr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94C9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4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6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.eu/rapid/press-release_IP-15-5140_fr.htm" TargetMode="External"/><Relationship Id="rId13" Type="http://schemas.openxmlformats.org/officeDocument/2006/relationships/hyperlink" Target="http://curia.europa.eu/jcms/jcms/P_159467/" TargetMode="External"/><Relationship Id="rId18" Type="http://schemas.openxmlformats.org/officeDocument/2006/relationships/hyperlink" Target="http://curia.europa.eu/jcms/jcms/P_159469/" TargetMode="External"/><Relationship Id="rId26" Type="http://schemas.openxmlformats.org/officeDocument/2006/relationships/hyperlink" Target="http://www.oecd.org/tax/transfer-pricing/beps-action-13-guidance-implementation-tp-documentation-cbc-reporting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ecd.org/ctp/transfer-pricing/oecd-releases-implementation-package-for-beps-country-by-country-reporting.htm" TargetMode="External"/><Relationship Id="rId34" Type="http://schemas.openxmlformats.org/officeDocument/2006/relationships/image" Target="media/image2.png"/><Relationship Id="rId7" Type="http://schemas.openxmlformats.org/officeDocument/2006/relationships/hyperlink" Target="http://europa.eu/rapid/press-release_IP-15-5140_en.htm" TargetMode="External"/><Relationship Id="rId12" Type="http://schemas.openxmlformats.org/officeDocument/2006/relationships/hyperlink" Target="http://curia.europa.eu/jcms/jcms/P_159463/" TargetMode="External"/><Relationship Id="rId17" Type="http://schemas.openxmlformats.org/officeDocument/2006/relationships/hyperlink" Target="http://curia.europa.eu/jcms/jcms/P_159466/" TargetMode="External"/><Relationship Id="rId25" Type="http://schemas.openxmlformats.org/officeDocument/2006/relationships/hyperlink" Target="http://www.oecd.org/ctp/Action-13-ESP-preliminary-version.pdf" TargetMode="External"/><Relationship Id="rId33" Type="http://schemas.openxmlformats.org/officeDocument/2006/relationships/hyperlink" Target="http://www.linkedin.com/company/confederation-fiscal-europeene?trk=company_nam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curia.europa.eu/jcms/jcms/P_159465/" TargetMode="External"/><Relationship Id="rId20" Type="http://schemas.openxmlformats.org/officeDocument/2006/relationships/hyperlink" Target="http://www.oecd.org/tax/transfer-pricing/beps-action-13-country-by-country-reporting-implementation-package.pdf" TargetMode="External"/><Relationship Id="rId29" Type="http://schemas.openxmlformats.org/officeDocument/2006/relationships/hyperlink" Target="http://www.oecd.org/fr/ctp/prix-de-transfert/release-discussion-draft-beps-action-8-hard-to-value-intangibles.htm" TargetMode="External"/><Relationship Id="rId1" Type="http://schemas.openxmlformats.org/officeDocument/2006/relationships/styles" Target="styles.xml"/><Relationship Id="rId6" Type="http://schemas.openxmlformats.org/officeDocument/2006/relationships/image" Target="cid:image001.jpg@01D0A2A8.073B32F0" TargetMode="External"/><Relationship Id="rId11" Type="http://schemas.openxmlformats.org/officeDocument/2006/relationships/hyperlink" Target="http://curia.europa.eu/jcms/jcms/Jo2_16799" TargetMode="External"/><Relationship Id="rId24" Type="http://schemas.openxmlformats.org/officeDocument/2006/relationships/hyperlink" Target="http://www.oecd.org/ctp/leitlinien-zur-verrechnungspreisdokumentation-und-landerbezogenen-berichterstattung-9789264231283-de.htm" TargetMode="External"/><Relationship Id="rId32" Type="http://schemas.openxmlformats.org/officeDocument/2006/relationships/hyperlink" Target="http://www.cfe-eutax.org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curia.europa.eu/jcms/jcms/P_159326/" TargetMode="External"/><Relationship Id="rId23" Type="http://schemas.openxmlformats.org/officeDocument/2006/relationships/hyperlink" Target="http://www.oecd.org/fr/ctp/instructions-relatives-a-la-documentation-des-prix-de-transfert-et-aux-declarations-pays-par-pays-9789264225404-fr.htm" TargetMode="External"/><Relationship Id="rId28" Type="http://schemas.openxmlformats.org/officeDocument/2006/relationships/hyperlink" Target="http://www.oecd.org/ctp/transfer-pricing/release-discussion-draft-beps-action-8-hard-to-value-intangibles.htm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europa.eu/rapid/press-release_IP-15-5140_et.htm" TargetMode="External"/><Relationship Id="rId19" Type="http://schemas.openxmlformats.org/officeDocument/2006/relationships/hyperlink" Target="http://curia.europa.eu/juris/document/document.jsf?text=&amp;docid=164731&amp;pageIndex=0&amp;doclang=EN&amp;mode=lst&amp;dir=&amp;occ=first&amp;part=1&amp;cid=227043" TargetMode="External"/><Relationship Id="rId31" Type="http://schemas.openxmlformats.org/officeDocument/2006/relationships/hyperlink" Target="http://www.oecd.org/fr/ctp/instructions-relatives-aux-aspects-interessant-les-prix-de-transfert-des-actifs-incorporels-9789264225350-fr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opa.eu/rapid/press-release_IP-15-5140_de.htm" TargetMode="External"/><Relationship Id="rId14" Type="http://schemas.openxmlformats.org/officeDocument/2006/relationships/hyperlink" Target="http://curia.europa.eu/jcms/jcms/P_159462/" TargetMode="External"/><Relationship Id="rId22" Type="http://schemas.openxmlformats.org/officeDocument/2006/relationships/hyperlink" Target="http://www.oecd.org/tax/transfer-pricing/beps-action-13-guidance-implementation-tp-documentation-cbc-reporting.pdf" TargetMode="External"/><Relationship Id="rId27" Type="http://schemas.openxmlformats.org/officeDocument/2006/relationships/hyperlink" Target="http://www.oecd.org/ctp/transfer-pricing/discussion-draft-beps-action-8-hard-to-value-intangibles.pdf" TargetMode="External"/><Relationship Id="rId30" Type="http://schemas.openxmlformats.org/officeDocument/2006/relationships/hyperlink" Target="http://www.oecd.org/ctp/guidance-on-transfer-pricing-aspects-of-intangibles-9789264219212-en.htm" TargetMode="External"/><Relationship Id="rId35" Type="http://schemas.openxmlformats.org/officeDocument/2006/relationships/image" Target="cid:image002.png@01D05A62.500B7F5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7101CAC2</Template>
  <TotalTime>1</TotalTime>
  <Pages>2</Pages>
  <Words>1104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Nalan Baykal</dc:creator>
  <cp:lastModifiedBy>Nalan Baykal</cp:lastModifiedBy>
  <cp:revision>1</cp:revision>
  <dcterms:created xsi:type="dcterms:W3CDTF">2015-06-15T09:32:00Z</dcterms:created>
  <dcterms:modified xsi:type="dcterms:W3CDTF">2015-06-15T09:33:00Z</dcterms:modified>
</cp:coreProperties>
</file>