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7E9" w:rsidRDefault="00E567E9" w:rsidP="00E567E9">
      <w:pPr>
        <w:rPr>
          <w:color w:val="1F497D"/>
          <w:lang w:val="en-US"/>
        </w:rPr>
      </w:pPr>
    </w:p>
    <w:tbl>
      <w:tblPr>
        <w:tblW w:w="9702" w:type="dxa"/>
        <w:tblCellSpacing w:w="0" w:type="dxa"/>
        <w:tblBorders>
          <w:top w:val="single" w:sz="48" w:space="0" w:color="000099"/>
          <w:left w:val="single" w:sz="48" w:space="0" w:color="000099"/>
          <w:bottom w:val="single" w:sz="48" w:space="0" w:color="000099"/>
          <w:right w:val="single" w:sz="48" w:space="0" w:color="000099"/>
        </w:tblBorders>
        <w:tblCellMar>
          <w:left w:w="0" w:type="dxa"/>
          <w:right w:w="0" w:type="dxa"/>
        </w:tblCellMar>
        <w:tblLook w:val="04A0" w:firstRow="1" w:lastRow="0" w:firstColumn="1" w:lastColumn="0" w:noHBand="0" w:noVBand="1"/>
      </w:tblPr>
      <w:tblGrid>
        <w:gridCol w:w="10172"/>
      </w:tblGrid>
      <w:tr w:rsidR="00E567E9" w:rsidTr="00E567E9">
        <w:trPr>
          <w:trHeight w:val="1924"/>
          <w:tblCellSpacing w:w="0" w:type="dxa"/>
        </w:trPr>
        <w:tc>
          <w:tcPr>
            <w:tcW w:w="9702" w:type="dxa"/>
            <w:tcBorders>
              <w:top w:val="nil"/>
              <w:left w:val="nil"/>
              <w:bottom w:val="nil"/>
              <w:right w:val="nil"/>
            </w:tcBorders>
            <w:tcMar>
              <w:top w:w="375" w:type="dxa"/>
              <w:left w:w="300" w:type="dxa"/>
              <w:bottom w:w="300" w:type="dxa"/>
              <w:right w:w="300" w:type="dxa"/>
            </w:tcMar>
            <w:vAlign w:val="center"/>
          </w:tcPr>
          <w:tbl>
            <w:tblPr>
              <w:tblW w:w="9100" w:type="dxa"/>
              <w:tblCellSpacing w:w="0" w:type="dxa"/>
              <w:tblCellMar>
                <w:left w:w="0" w:type="dxa"/>
                <w:right w:w="0" w:type="dxa"/>
              </w:tblCellMar>
              <w:tblLook w:val="04A0" w:firstRow="1" w:lastRow="0" w:firstColumn="1" w:lastColumn="0" w:noHBand="0" w:noVBand="1"/>
            </w:tblPr>
            <w:tblGrid>
              <w:gridCol w:w="9094"/>
              <w:gridCol w:w="6"/>
            </w:tblGrid>
            <w:tr w:rsidR="00E567E9">
              <w:trPr>
                <w:trHeight w:val="76"/>
                <w:tblCellSpacing w:w="0" w:type="dxa"/>
              </w:trPr>
              <w:tc>
                <w:tcPr>
                  <w:tcW w:w="9094" w:type="dxa"/>
                  <w:vAlign w:val="center"/>
                  <w:hideMark/>
                </w:tcPr>
                <w:p w:rsidR="00E567E9" w:rsidRDefault="00E567E9">
                  <w:pPr>
                    <w:spacing w:line="76" w:lineRule="atLeast"/>
                    <w:jc w:val="both"/>
                    <w:rPr>
                      <w:sz w:val="20"/>
                      <w:szCs w:val="20"/>
                    </w:rPr>
                  </w:pPr>
                  <w:r>
                    <w:rPr>
                      <w:noProof/>
                      <w:sz w:val="20"/>
                      <w:szCs w:val="20"/>
                      <w:lang w:eastAsia="nl-NL"/>
                    </w:rPr>
                    <w:drawing>
                      <wp:inline distT="0" distB="0" distL="0" distR="0">
                        <wp:extent cx="5762625" cy="666750"/>
                        <wp:effectExtent l="0" t="0" r="9525" b="0"/>
                        <wp:docPr id="2" name="Afbeelding 2" descr="cid:image003.jpg@01D09C60.F9A4B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09C60.F9A4B96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762625" cy="666750"/>
                                </a:xfrm>
                                <a:prstGeom prst="rect">
                                  <a:avLst/>
                                </a:prstGeom>
                                <a:noFill/>
                                <a:ln>
                                  <a:noFill/>
                                </a:ln>
                              </pic:spPr>
                            </pic:pic>
                          </a:graphicData>
                        </a:graphic>
                      </wp:inline>
                    </w:drawing>
                  </w:r>
                </w:p>
              </w:tc>
              <w:tc>
                <w:tcPr>
                  <w:tcW w:w="0" w:type="auto"/>
                  <w:vAlign w:val="center"/>
                </w:tcPr>
                <w:p w:rsidR="00E567E9" w:rsidRDefault="00E567E9">
                  <w:pPr>
                    <w:spacing w:line="276" w:lineRule="auto"/>
                    <w:jc w:val="both"/>
                    <w:rPr>
                      <w:color w:val="ACABAB"/>
                      <w:sz w:val="20"/>
                      <w:szCs w:val="20"/>
                    </w:rPr>
                  </w:pPr>
                </w:p>
                <w:p w:rsidR="00E567E9" w:rsidRDefault="00E567E9">
                  <w:pPr>
                    <w:spacing w:line="76" w:lineRule="atLeast"/>
                    <w:jc w:val="both"/>
                    <w:rPr>
                      <w:color w:val="ACABAB"/>
                      <w:sz w:val="20"/>
                      <w:szCs w:val="20"/>
                    </w:rPr>
                  </w:pPr>
                </w:p>
              </w:tc>
            </w:tr>
          </w:tbl>
          <w:p w:rsidR="00E567E9" w:rsidRDefault="00E567E9">
            <w:pPr>
              <w:shd w:val="clear" w:color="auto" w:fill="FEFEFE"/>
              <w:spacing w:line="276" w:lineRule="auto"/>
              <w:ind w:right="2925"/>
              <w:jc w:val="both"/>
              <w:rPr>
                <w:b/>
                <w:bCs/>
                <w:color w:val="000000"/>
                <w:sz w:val="20"/>
                <w:szCs w:val="20"/>
                <w:lang w:val="en" w:eastAsia="fr-BE"/>
              </w:rPr>
            </w:pPr>
            <w:r>
              <w:rPr>
                <w:b/>
                <w:bCs/>
                <w:color w:val="000000"/>
                <w:sz w:val="20"/>
                <w:szCs w:val="20"/>
                <w:lang w:val="en"/>
              </w:rPr>
              <w:t xml:space="preserve">                                                                                                                                                    </w:t>
            </w:r>
          </w:p>
          <w:p w:rsidR="00E567E9" w:rsidRDefault="00E567E9">
            <w:pPr>
              <w:shd w:val="clear" w:color="auto" w:fill="FEFEFE"/>
              <w:spacing w:line="276" w:lineRule="auto"/>
              <w:ind w:left="7371"/>
              <w:jc w:val="both"/>
              <w:rPr>
                <w:b/>
                <w:bCs/>
                <w:color w:val="000000"/>
                <w:sz w:val="20"/>
                <w:szCs w:val="20"/>
                <w:lang w:val="en"/>
              </w:rPr>
            </w:pPr>
            <w:r>
              <w:rPr>
                <w:b/>
                <w:bCs/>
                <w:color w:val="000000"/>
                <w:sz w:val="20"/>
                <w:szCs w:val="20"/>
                <w:lang w:val="en"/>
              </w:rPr>
              <w:t>1 June 2015</w:t>
            </w:r>
          </w:p>
          <w:p w:rsidR="00E567E9" w:rsidRDefault="00E567E9">
            <w:pPr>
              <w:pStyle w:val="Lijstalinea"/>
              <w:spacing w:line="276" w:lineRule="auto"/>
              <w:ind w:left="1068"/>
              <w:rPr>
                <w:color w:val="C00000"/>
                <w:sz w:val="20"/>
                <w:szCs w:val="20"/>
                <w:lang w:val="fr-BE"/>
              </w:rPr>
            </w:pPr>
          </w:p>
          <w:p w:rsidR="00E567E9" w:rsidRDefault="00E567E9">
            <w:pPr>
              <w:pStyle w:val="Lijstalinea"/>
              <w:spacing w:line="276" w:lineRule="auto"/>
              <w:ind w:hanging="360"/>
              <w:rPr>
                <w:sz w:val="20"/>
                <w:szCs w:val="20"/>
              </w:rPr>
            </w:pPr>
            <w:r>
              <w:rPr>
                <w:b/>
                <w:bCs/>
                <w:sz w:val="20"/>
                <w:szCs w:val="20"/>
              </w:rPr>
              <w:t>1.</w:t>
            </w:r>
            <w:r>
              <w:rPr>
                <w:rFonts w:ascii="Times New Roman" w:hAnsi="Times New Roman"/>
                <w:b/>
                <w:bCs/>
                <w:sz w:val="14"/>
                <w:szCs w:val="14"/>
              </w:rPr>
              <w:t xml:space="preserve">       </w:t>
            </w:r>
            <w:r>
              <w:rPr>
                <w:b/>
                <w:bCs/>
                <w:sz w:val="20"/>
                <w:szCs w:val="20"/>
                <w:lang w:val="en"/>
              </w:rPr>
              <w:t>Commission hinting at new mandatory CC(C)TB</w:t>
            </w:r>
          </w:p>
          <w:p w:rsidR="00E567E9" w:rsidRDefault="00E567E9">
            <w:pPr>
              <w:pStyle w:val="Lijstalinea"/>
              <w:spacing w:line="276" w:lineRule="auto"/>
              <w:ind w:left="426"/>
              <w:rPr>
                <w:sz w:val="20"/>
                <w:szCs w:val="20"/>
                <w:lang w:val="en"/>
              </w:rPr>
            </w:pPr>
            <w:r>
              <w:rPr>
                <w:sz w:val="20"/>
                <w:szCs w:val="20"/>
                <w:lang w:val="en"/>
              </w:rPr>
              <w:br/>
              <w:t xml:space="preserve">On 27 May 2015, the college of European Commissioners held an orientation debate on corporate taxation, discussing a re-launch of the CCCTB (common consolidated corporate tax base) with a focus on fighting tax avoidance. While no statement was made on whether the element of consolidation should be maintained, it became clear from various comments that the Commission has changed its position on whether the CC(C)TB should be voluntary. Commission Vice President </w:t>
            </w:r>
            <w:proofErr w:type="spellStart"/>
            <w:r>
              <w:rPr>
                <w:sz w:val="20"/>
                <w:szCs w:val="20"/>
                <w:lang w:val="en"/>
              </w:rPr>
              <w:t>Valdis</w:t>
            </w:r>
            <w:proofErr w:type="spellEnd"/>
            <w:r>
              <w:rPr>
                <w:sz w:val="20"/>
                <w:szCs w:val="20"/>
                <w:lang w:val="en"/>
              </w:rPr>
              <w:t xml:space="preserve"> </w:t>
            </w:r>
            <w:proofErr w:type="spellStart"/>
            <w:r>
              <w:rPr>
                <w:sz w:val="20"/>
                <w:szCs w:val="20"/>
                <w:lang w:val="en"/>
              </w:rPr>
              <w:t>Dombrovskis</w:t>
            </w:r>
            <w:proofErr w:type="spellEnd"/>
            <w:r>
              <w:rPr>
                <w:sz w:val="20"/>
                <w:szCs w:val="20"/>
                <w:lang w:val="en"/>
              </w:rPr>
              <w:t xml:space="preserve"> said that  “it is clear that especially those companies which are engaged in aggressive tax planning are not going to be the ones to voluntarily opt into the CCCTB system”. There was no confirmation on whether the original CCCTB proposal of 2011 will be amended or withdrawn and replaces by a new proposal. It was noted that the Commission did not specifically discuss minimum rates or harmonization of tax rates.</w:t>
            </w:r>
          </w:p>
          <w:p w:rsidR="00E567E9" w:rsidRDefault="00E567E9">
            <w:pPr>
              <w:pStyle w:val="Lijstalinea"/>
              <w:spacing w:line="276" w:lineRule="auto"/>
              <w:ind w:left="426"/>
              <w:rPr>
                <w:sz w:val="20"/>
                <w:szCs w:val="20"/>
                <w:lang w:val="en"/>
              </w:rPr>
            </w:pPr>
            <w:r>
              <w:rPr>
                <w:sz w:val="20"/>
                <w:szCs w:val="20"/>
                <w:lang w:val="en"/>
              </w:rPr>
              <w:t>The Commission´s “</w:t>
            </w:r>
            <w:r>
              <w:rPr>
                <w:sz w:val="20"/>
                <w:szCs w:val="20"/>
              </w:rPr>
              <w:t xml:space="preserve">Action Plan on Corporate </w:t>
            </w:r>
            <w:proofErr w:type="spellStart"/>
            <w:r>
              <w:rPr>
                <w:sz w:val="20"/>
                <w:szCs w:val="20"/>
              </w:rPr>
              <w:t>Taxation</w:t>
            </w:r>
            <w:proofErr w:type="spellEnd"/>
            <w:r>
              <w:rPr>
                <w:sz w:val="20"/>
                <w:szCs w:val="20"/>
                <w:lang w:val="en"/>
              </w:rPr>
              <w:t>” which is expected to shed more light on the Commission´s plans has been announced for 17 June 2015.</w:t>
            </w:r>
          </w:p>
          <w:p w:rsidR="00E567E9" w:rsidRDefault="00E567E9">
            <w:pPr>
              <w:pStyle w:val="Lijstalinea"/>
              <w:spacing w:line="276" w:lineRule="auto"/>
              <w:rPr>
                <w:sz w:val="20"/>
                <w:szCs w:val="20"/>
                <w:lang w:val="en"/>
              </w:rPr>
            </w:pPr>
          </w:p>
          <w:p w:rsidR="00E567E9" w:rsidRDefault="00E567E9">
            <w:pPr>
              <w:pStyle w:val="Lijstalinea"/>
              <w:spacing w:line="276" w:lineRule="auto"/>
              <w:ind w:left="1068" w:hanging="360"/>
              <w:rPr>
                <w:sz w:val="20"/>
                <w:szCs w:val="20"/>
              </w:rPr>
            </w:pPr>
            <w:r>
              <w:rPr>
                <w:sz w:val="20"/>
                <w:szCs w:val="20"/>
              </w:rPr>
              <w:t>-</w:t>
            </w:r>
            <w:r>
              <w:rPr>
                <w:rFonts w:ascii="Times New Roman" w:hAnsi="Times New Roman"/>
                <w:sz w:val="14"/>
                <w:szCs w:val="14"/>
              </w:rPr>
              <w:t xml:space="preserve">          </w:t>
            </w:r>
            <w:r>
              <w:rPr>
                <w:sz w:val="20"/>
                <w:szCs w:val="20"/>
              </w:rPr>
              <w:t xml:space="preserve">European </w:t>
            </w:r>
            <w:proofErr w:type="spellStart"/>
            <w:r>
              <w:rPr>
                <w:sz w:val="20"/>
                <w:szCs w:val="20"/>
              </w:rPr>
              <w:t>Commission</w:t>
            </w:r>
            <w:proofErr w:type="spellEnd"/>
            <w:r>
              <w:rPr>
                <w:sz w:val="20"/>
                <w:szCs w:val="20"/>
              </w:rPr>
              <w:t xml:space="preserve"> </w:t>
            </w:r>
            <w:proofErr w:type="spellStart"/>
            <w:r>
              <w:rPr>
                <w:sz w:val="20"/>
                <w:szCs w:val="20"/>
              </w:rPr>
              <w:t>press</w:t>
            </w:r>
            <w:proofErr w:type="spellEnd"/>
            <w:r>
              <w:rPr>
                <w:sz w:val="20"/>
                <w:szCs w:val="20"/>
              </w:rPr>
              <w:t xml:space="preserve"> release, 27 May 2015: </w:t>
            </w:r>
            <w:hyperlink r:id="rId7" w:history="1">
              <w:r>
                <w:rPr>
                  <w:rStyle w:val="Hyperlink"/>
                  <w:sz w:val="20"/>
                  <w:szCs w:val="20"/>
                </w:rPr>
                <w:t>EN</w:t>
              </w:r>
            </w:hyperlink>
          </w:p>
          <w:p w:rsidR="00E567E9" w:rsidRDefault="00E567E9">
            <w:pPr>
              <w:pStyle w:val="Lijstalinea"/>
              <w:spacing w:line="276" w:lineRule="auto"/>
              <w:ind w:left="1068"/>
              <w:rPr>
                <w:sz w:val="20"/>
                <w:szCs w:val="20"/>
              </w:rPr>
            </w:pPr>
          </w:p>
          <w:p w:rsidR="00E567E9" w:rsidRDefault="00E567E9">
            <w:pPr>
              <w:spacing w:line="276" w:lineRule="auto"/>
              <w:rPr>
                <w:sz w:val="20"/>
                <w:szCs w:val="20"/>
              </w:rPr>
            </w:pPr>
          </w:p>
          <w:p w:rsidR="00E567E9" w:rsidRDefault="00E567E9">
            <w:pPr>
              <w:pStyle w:val="Lijstalinea"/>
              <w:spacing w:line="276" w:lineRule="auto"/>
              <w:ind w:hanging="360"/>
              <w:rPr>
                <w:sz w:val="20"/>
                <w:szCs w:val="20"/>
              </w:rPr>
            </w:pPr>
            <w:r>
              <w:rPr>
                <w:b/>
                <w:bCs/>
                <w:sz w:val="20"/>
                <w:szCs w:val="20"/>
              </w:rPr>
              <w:t>2.</w:t>
            </w:r>
            <w:r>
              <w:rPr>
                <w:rFonts w:ascii="Times New Roman" w:hAnsi="Times New Roman"/>
                <w:b/>
                <w:bCs/>
                <w:sz w:val="14"/>
                <w:szCs w:val="14"/>
              </w:rPr>
              <w:t xml:space="preserve">       </w:t>
            </w:r>
            <w:r>
              <w:rPr>
                <w:b/>
                <w:bCs/>
                <w:sz w:val="20"/>
                <w:szCs w:val="20"/>
              </w:rPr>
              <w:t xml:space="preserve">OECD </w:t>
            </w:r>
            <w:proofErr w:type="spellStart"/>
            <w:r>
              <w:rPr>
                <w:b/>
                <w:bCs/>
                <w:sz w:val="20"/>
                <w:szCs w:val="20"/>
              </w:rPr>
              <w:t>reports</w:t>
            </w:r>
            <w:proofErr w:type="spellEnd"/>
            <w:r>
              <w:rPr>
                <w:b/>
                <w:bCs/>
                <w:sz w:val="20"/>
                <w:szCs w:val="20"/>
              </w:rPr>
              <w:t xml:space="preserve"> on </w:t>
            </w:r>
            <w:proofErr w:type="spellStart"/>
            <w:r>
              <w:rPr>
                <w:b/>
                <w:bCs/>
                <w:sz w:val="20"/>
                <w:szCs w:val="20"/>
              </w:rPr>
              <w:t>progress</w:t>
            </w:r>
            <w:proofErr w:type="spellEnd"/>
            <w:r>
              <w:rPr>
                <w:b/>
                <w:bCs/>
                <w:sz w:val="20"/>
                <w:szCs w:val="20"/>
              </w:rPr>
              <w:t xml:space="preserve"> on </w:t>
            </w:r>
            <w:proofErr w:type="spellStart"/>
            <w:r>
              <w:rPr>
                <w:b/>
                <w:bCs/>
                <w:sz w:val="20"/>
                <w:szCs w:val="20"/>
              </w:rPr>
              <w:t>developing</w:t>
            </w:r>
            <w:proofErr w:type="spellEnd"/>
            <w:r>
              <w:rPr>
                <w:b/>
                <w:bCs/>
                <w:sz w:val="20"/>
                <w:szCs w:val="20"/>
              </w:rPr>
              <w:t xml:space="preserve"> a </w:t>
            </w:r>
            <w:proofErr w:type="spellStart"/>
            <w:r>
              <w:rPr>
                <w:b/>
                <w:bCs/>
                <w:sz w:val="20"/>
                <w:szCs w:val="20"/>
              </w:rPr>
              <w:t>multilateral</w:t>
            </w:r>
            <w:proofErr w:type="spellEnd"/>
            <w:r>
              <w:rPr>
                <w:b/>
                <w:bCs/>
                <w:sz w:val="20"/>
                <w:szCs w:val="20"/>
              </w:rPr>
              <w:t xml:space="preserve"> instrument</w:t>
            </w:r>
          </w:p>
          <w:p w:rsidR="00E567E9" w:rsidRDefault="00E567E9">
            <w:pPr>
              <w:pStyle w:val="Lijstalinea"/>
              <w:spacing w:line="276" w:lineRule="auto"/>
              <w:ind w:left="426"/>
              <w:rPr>
                <w:sz w:val="20"/>
                <w:szCs w:val="20"/>
              </w:rPr>
            </w:pPr>
          </w:p>
          <w:p w:rsidR="00E567E9" w:rsidRDefault="00E567E9">
            <w:pPr>
              <w:pStyle w:val="Lijstalinea"/>
              <w:spacing w:line="276" w:lineRule="auto"/>
              <w:ind w:left="426"/>
              <w:rPr>
                <w:sz w:val="20"/>
                <w:szCs w:val="20"/>
              </w:rPr>
            </w:pPr>
            <w:r>
              <w:rPr>
                <w:sz w:val="20"/>
                <w:szCs w:val="20"/>
              </w:rPr>
              <w:t xml:space="preserve">On 27 May 2015, the OECD </w:t>
            </w:r>
            <w:proofErr w:type="spellStart"/>
            <w:r>
              <w:rPr>
                <w:sz w:val="20"/>
                <w:szCs w:val="20"/>
              </w:rPr>
              <w:t>started</w:t>
            </w:r>
            <w:proofErr w:type="spellEnd"/>
            <w:r>
              <w:rPr>
                <w:sz w:val="20"/>
                <w:szCs w:val="20"/>
              </w:rPr>
              <w:t xml:space="preserve"> </w:t>
            </w:r>
            <w:proofErr w:type="spellStart"/>
            <w:r>
              <w:rPr>
                <w:sz w:val="20"/>
                <w:szCs w:val="20"/>
              </w:rPr>
              <w:t>its</w:t>
            </w:r>
            <w:proofErr w:type="spellEnd"/>
            <w:r>
              <w:rPr>
                <w:sz w:val="20"/>
                <w:szCs w:val="20"/>
              </w:rPr>
              <w:t xml:space="preserve"> </w:t>
            </w:r>
            <w:proofErr w:type="spellStart"/>
            <w:r>
              <w:rPr>
                <w:sz w:val="20"/>
                <w:szCs w:val="20"/>
              </w:rPr>
              <w:t>work</w:t>
            </w:r>
            <w:proofErr w:type="spellEnd"/>
            <w:r>
              <w:rPr>
                <w:sz w:val="20"/>
                <w:szCs w:val="20"/>
              </w:rPr>
              <w:t xml:space="preserve"> on </w:t>
            </w:r>
            <w:proofErr w:type="spellStart"/>
            <w:r>
              <w:rPr>
                <w:sz w:val="20"/>
                <w:szCs w:val="20"/>
              </w:rPr>
              <w:t>developing</w:t>
            </w:r>
            <w:proofErr w:type="spellEnd"/>
            <w:r>
              <w:rPr>
                <w:sz w:val="20"/>
                <w:szCs w:val="20"/>
              </w:rPr>
              <w:t xml:space="preserve"> a </w:t>
            </w:r>
            <w:proofErr w:type="spellStart"/>
            <w:r>
              <w:rPr>
                <w:sz w:val="20"/>
                <w:szCs w:val="20"/>
              </w:rPr>
              <w:t>multilateral</w:t>
            </w:r>
            <w:proofErr w:type="spellEnd"/>
            <w:r>
              <w:rPr>
                <w:sz w:val="20"/>
                <w:szCs w:val="20"/>
              </w:rPr>
              <w:t xml:space="preserve"> </w:t>
            </w:r>
            <w:proofErr w:type="spellStart"/>
            <w:r>
              <w:rPr>
                <w:sz w:val="20"/>
                <w:szCs w:val="20"/>
              </w:rPr>
              <w:t>legal</w:t>
            </w:r>
            <w:proofErr w:type="spellEnd"/>
            <w:r>
              <w:rPr>
                <w:sz w:val="20"/>
                <w:szCs w:val="20"/>
              </w:rPr>
              <w:t xml:space="preserve"> instrument </w:t>
            </w:r>
            <w:proofErr w:type="spellStart"/>
            <w:r>
              <w:rPr>
                <w:sz w:val="20"/>
                <w:szCs w:val="20"/>
              </w:rPr>
              <w:t>to</w:t>
            </w:r>
            <w:proofErr w:type="spellEnd"/>
            <w:r>
              <w:rPr>
                <w:sz w:val="20"/>
                <w:szCs w:val="20"/>
              </w:rPr>
              <w:t xml:space="preserve"> </w:t>
            </w:r>
            <w:proofErr w:type="spellStart"/>
            <w:r>
              <w:rPr>
                <w:sz w:val="20"/>
                <w:szCs w:val="20"/>
              </w:rPr>
              <w:t>modify</w:t>
            </w:r>
            <w:proofErr w:type="spellEnd"/>
            <w:r>
              <w:rPr>
                <w:sz w:val="20"/>
                <w:szCs w:val="20"/>
              </w:rPr>
              <w:t xml:space="preserve"> </w:t>
            </w:r>
            <w:proofErr w:type="spellStart"/>
            <w:r>
              <w:rPr>
                <w:sz w:val="20"/>
                <w:szCs w:val="20"/>
              </w:rPr>
              <w:t>bilateral</w:t>
            </w:r>
            <w:proofErr w:type="spellEnd"/>
            <w:r>
              <w:rPr>
                <w:sz w:val="20"/>
                <w:szCs w:val="20"/>
              </w:rPr>
              <w:t xml:space="preserve"> tax </w:t>
            </w:r>
            <w:proofErr w:type="spellStart"/>
            <w:r>
              <w:rPr>
                <w:sz w:val="20"/>
                <w:szCs w:val="20"/>
              </w:rPr>
              <w:t>treaties</w:t>
            </w:r>
            <w:proofErr w:type="spellEnd"/>
            <w:r>
              <w:rPr>
                <w:sz w:val="20"/>
                <w:szCs w:val="20"/>
              </w:rPr>
              <w:t xml:space="preserve"> (BEPS Action 15) </w:t>
            </w:r>
            <w:proofErr w:type="spellStart"/>
            <w:r>
              <w:rPr>
                <w:sz w:val="20"/>
                <w:szCs w:val="20"/>
              </w:rPr>
              <w:t>which</w:t>
            </w:r>
            <w:proofErr w:type="spellEnd"/>
            <w:r>
              <w:rPr>
                <w:sz w:val="20"/>
                <w:szCs w:val="20"/>
              </w:rPr>
              <w:t xml:space="preserve"> </w:t>
            </w:r>
            <w:proofErr w:type="spellStart"/>
            <w:r>
              <w:rPr>
                <w:sz w:val="20"/>
                <w:szCs w:val="20"/>
              </w:rPr>
              <w:t>would</w:t>
            </w:r>
            <w:proofErr w:type="spellEnd"/>
            <w:r>
              <w:rPr>
                <w:sz w:val="20"/>
                <w:szCs w:val="20"/>
              </w:rPr>
              <w:t xml:space="preserve"> </w:t>
            </w:r>
            <w:proofErr w:type="spellStart"/>
            <w:r>
              <w:rPr>
                <w:sz w:val="20"/>
                <w:szCs w:val="20"/>
              </w:rPr>
              <w:t>become</w:t>
            </w:r>
            <w:proofErr w:type="spellEnd"/>
            <w:r>
              <w:rPr>
                <w:sz w:val="20"/>
                <w:szCs w:val="20"/>
              </w:rPr>
              <w:t xml:space="preserve"> the </w:t>
            </w:r>
            <w:proofErr w:type="spellStart"/>
            <w:r>
              <w:rPr>
                <w:sz w:val="20"/>
                <w:szCs w:val="20"/>
              </w:rPr>
              <w:t>key</w:t>
            </w:r>
            <w:proofErr w:type="spellEnd"/>
            <w:r>
              <w:rPr>
                <w:sz w:val="20"/>
                <w:szCs w:val="20"/>
              </w:rPr>
              <w:t xml:space="preserve"> tool </w:t>
            </w:r>
            <w:proofErr w:type="spellStart"/>
            <w:r>
              <w:rPr>
                <w:sz w:val="20"/>
                <w:szCs w:val="20"/>
              </w:rPr>
              <w:t>for</w:t>
            </w:r>
            <w:proofErr w:type="spellEnd"/>
            <w:r>
              <w:rPr>
                <w:sz w:val="20"/>
                <w:szCs w:val="20"/>
              </w:rPr>
              <w:t xml:space="preserve"> </w:t>
            </w:r>
            <w:proofErr w:type="spellStart"/>
            <w:r>
              <w:rPr>
                <w:sz w:val="20"/>
                <w:szCs w:val="20"/>
              </w:rPr>
              <w:t>implementing</w:t>
            </w:r>
            <w:proofErr w:type="spellEnd"/>
            <w:r>
              <w:rPr>
                <w:sz w:val="20"/>
                <w:szCs w:val="20"/>
              </w:rPr>
              <w:t xml:space="preserve"> </w:t>
            </w:r>
            <w:proofErr w:type="spellStart"/>
            <w:r>
              <w:rPr>
                <w:sz w:val="20"/>
                <w:szCs w:val="20"/>
              </w:rPr>
              <w:t>into</w:t>
            </w:r>
            <w:proofErr w:type="spellEnd"/>
            <w:r>
              <w:rPr>
                <w:sz w:val="20"/>
                <w:szCs w:val="20"/>
              </w:rPr>
              <w:t xml:space="preserve"> </w:t>
            </w:r>
            <w:proofErr w:type="spellStart"/>
            <w:r>
              <w:rPr>
                <w:sz w:val="20"/>
                <w:szCs w:val="20"/>
              </w:rPr>
              <w:t>national</w:t>
            </w:r>
            <w:proofErr w:type="spellEnd"/>
            <w:r>
              <w:rPr>
                <w:sz w:val="20"/>
                <w:szCs w:val="20"/>
              </w:rPr>
              <w:t xml:space="preserve"> </w:t>
            </w:r>
            <w:proofErr w:type="spellStart"/>
            <w:r>
              <w:rPr>
                <w:sz w:val="20"/>
                <w:szCs w:val="20"/>
              </w:rPr>
              <w:t>law</w:t>
            </w:r>
            <w:proofErr w:type="spellEnd"/>
            <w:r>
              <w:rPr>
                <w:sz w:val="20"/>
                <w:szCs w:val="20"/>
              </w:rPr>
              <w:t xml:space="preserve"> the </w:t>
            </w:r>
            <w:proofErr w:type="spellStart"/>
            <w:r>
              <w:rPr>
                <w:sz w:val="20"/>
                <w:szCs w:val="20"/>
              </w:rPr>
              <w:t>final</w:t>
            </w:r>
            <w:proofErr w:type="spellEnd"/>
            <w:r>
              <w:rPr>
                <w:sz w:val="20"/>
                <w:szCs w:val="20"/>
              </w:rPr>
              <w:t xml:space="preserve"> BEPS </w:t>
            </w:r>
            <w:proofErr w:type="spellStart"/>
            <w:r>
              <w:rPr>
                <w:sz w:val="20"/>
                <w:szCs w:val="20"/>
              </w:rPr>
              <w:t>recommendations</w:t>
            </w:r>
            <w:proofErr w:type="spellEnd"/>
            <w:r>
              <w:rPr>
                <w:sz w:val="20"/>
                <w:szCs w:val="20"/>
              </w:rPr>
              <w:t xml:space="preserve"> </w:t>
            </w:r>
            <w:proofErr w:type="spellStart"/>
            <w:r>
              <w:rPr>
                <w:sz w:val="20"/>
                <w:szCs w:val="20"/>
              </w:rPr>
              <w:t>expected</w:t>
            </w:r>
            <w:proofErr w:type="spellEnd"/>
            <w:r>
              <w:rPr>
                <w:sz w:val="20"/>
                <w:szCs w:val="20"/>
              </w:rPr>
              <w:t xml:space="preserve"> in </w:t>
            </w:r>
            <w:proofErr w:type="spellStart"/>
            <w:r>
              <w:rPr>
                <w:sz w:val="20"/>
                <w:szCs w:val="20"/>
              </w:rPr>
              <w:t>autumn</w:t>
            </w:r>
            <w:proofErr w:type="spellEnd"/>
            <w:r>
              <w:rPr>
                <w:sz w:val="20"/>
                <w:szCs w:val="20"/>
              </w:rPr>
              <w:t xml:space="preserve"> 2015. Over 80 </w:t>
            </w:r>
            <w:proofErr w:type="spellStart"/>
            <w:r>
              <w:rPr>
                <w:sz w:val="20"/>
                <w:szCs w:val="20"/>
              </w:rPr>
              <w:t>countries</w:t>
            </w:r>
            <w:proofErr w:type="spellEnd"/>
            <w:r>
              <w:rPr>
                <w:sz w:val="20"/>
                <w:szCs w:val="20"/>
              </w:rPr>
              <w:t xml:space="preserve"> (</w:t>
            </w:r>
            <w:proofErr w:type="spellStart"/>
            <w:r>
              <w:rPr>
                <w:sz w:val="20"/>
                <w:szCs w:val="20"/>
              </w:rPr>
              <w:t>including</w:t>
            </w:r>
            <w:proofErr w:type="spellEnd"/>
            <w:r>
              <w:rPr>
                <w:sz w:val="20"/>
                <w:szCs w:val="20"/>
              </w:rPr>
              <w:t xml:space="preserve">, </w:t>
            </w:r>
            <w:proofErr w:type="spellStart"/>
            <w:r>
              <w:rPr>
                <w:sz w:val="20"/>
                <w:szCs w:val="20"/>
              </w:rPr>
              <w:t>i.a</w:t>
            </w:r>
            <w:proofErr w:type="spellEnd"/>
            <w:r>
              <w:rPr>
                <w:sz w:val="20"/>
                <w:szCs w:val="20"/>
              </w:rPr>
              <w:t xml:space="preserve">., Brazil, China, France, Germany, India, Italy, Japan, Russia, Spain </w:t>
            </w:r>
            <w:proofErr w:type="spellStart"/>
            <w:r>
              <w:rPr>
                <w:sz w:val="20"/>
                <w:szCs w:val="20"/>
              </w:rPr>
              <w:t>and</w:t>
            </w:r>
            <w:proofErr w:type="spellEnd"/>
            <w:r>
              <w:rPr>
                <w:sz w:val="20"/>
                <w:szCs w:val="20"/>
              </w:rPr>
              <w:t xml:space="preserve"> the UK, but </w:t>
            </w:r>
            <w:proofErr w:type="spellStart"/>
            <w:r>
              <w:rPr>
                <w:sz w:val="20"/>
                <w:szCs w:val="20"/>
              </w:rPr>
              <w:t>not</w:t>
            </w:r>
            <w:proofErr w:type="spellEnd"/>
            <w:r>
              <w:rPr>
                <w:sz w:val="20"/>
                <w:szCs w:val="20"/>
              </w:rPr>
              <w:t xml:space="preserve"> the US) are </w:t>
            </w:r>
            <w:proofErr w:type="spellStart"/>
            <w:r>
              <w:rPr>
                <w:sz w:val="20"/>
                <w:szCs w:val="20"/>
              </w:rPr>
              <w:t>participating</w:t>
            </w:r>
            <w:proofErr w:type="spellEnd"/>
            <w:r>
              <w:rPr>
                <w:sz w:val="20"/>
                <w:szCs w:val="20"/>
              </w:rPr>
              <w:t xml:space="preserve"> in </w:t>
            </w:r>
            <w:proofErr w:type="spellStart"/>
            <w:r>
              <w:rPr>
                <w:sz w:val="20"/>
                <w:szCs w:val="20"/>
              </w:rPr>
              <w:t>this</w:t>
            </w:r>
            <w:proofErr w:type="spellEnd"/>
            <w:r>
              <w:rPr>
                <w:sz w:val="20"/>
                <w:szCs w:val="20"/>
              </w:rPr>
              <w:t xml:space="preserve"> </w:t>
            </w:r>
            <w:proofErr w:type="spellStart"/>
            <w:r>
              <w:rPr>
                <w:sz w:val="20"/>
                <w:szCs w:val="20"/>
              </w:rPr>
              <w:t>work</w:t>
            </w:r>
            <w:proofErr w:type="spellEnd"/>
            <w:r>
              <w:rPr>
                <w:sz w:val="20"/>
                <w:szCs w:val="20"/>
              </w:rPr>
              <w:t xml:space="preserve">. </w:t>
            </w:r>
            <w:proofErr w:type="spellStart"/>
            <w:r>
              <w:rPr>
                <w:sz w:val="20"/>
                <w:szCs w:val="20"/>
              </w:rPr>
              <w:t>However</w:t>
            </w:r>
            <w:proofErr w:type="spellEnd"/>
            <w:r>
              <w:rPr>
                <w:sz w:val="20"/>
                <w:szCs w:val="20"/>
              </w:rPr>
              <w:t xml:space="preserve">, the </w:t>
            </w:r>
            <w:proofErr w:type="spellStart"/>
            <w:r>
              <w:rPr>
                <w:sz w:val="20"/>
                <w:szCs w:val="20"/>
              </w:rPr>
              <w:t>substantive</w:t>
            </w:r>
            <w:proofErr w:type="spellEnd"/>
            <w:r>
              <w:rPr>
                <w:sz w:val="20"/>
                <w:szCs w:val="20"/>
              </w:rPr>
              <w:t xml:space="preserve"> </w:t>
            </w:r>
            <w:proofErr w:type="spellStart"/>
            <w:r>
              <w:rPr>
                <w:sz w:val="20"/>
                <w:szCs w:val="20"/>
              </w:rPr>
              <w:t>work</w:t>
            </w:r>
            <w:proofErr w:type="spellEnd"/>
            <w:r>
              <w:rPr>
                <w:sz w:val="20"/>
                <w:szCs w:val="20"/>
              </w:rPr>
              <w:t xml:space="preserve"> on the instrument is </w:t>
            </w:r>
            <w:proofErr w:type="spellStart"/>
            <w:r>
              <w:rPr>
                <w:sz w:val="20"/>
                <w:szCs w:val="20"/>
              </w:rPr>
              <w:t>only</w:t>
            </w:r>
            <w:proofErr w:type="spellEnd"/>
            <w:r>
              <w:rPr>
                <w:sz w:val="20"/>
                <w:szCs w:val="20"/>
              </w:rPr>
              <w:t xml:space="preserve"> </w:t>
            </w:r>
            <w:proofErr w:type="spellStart"/>
            <w:r>
              <w:rPr>
                <w:sz w:val="20"/>
                <w:szCs w:val="20"/>
              </w:rPr>
              <w:t>due</w:t>
            </w:r>
            <w:proofErr w:type="spellEnd"/>
            <w:r>
              <w:rPr>
                <w:sz w:val="20"/>
                <w:szCs w:val="20"/>
              </w:rPr>
              <w:t xml:space="preserve"> </w:t>
            </w:r>
            <w:proofErr w:type="spellStart"/>
            <w:r>
              <w:rPr>
                <w:sz w:val="20"/>
                <w:szCs w:val="20"/>
              </w:rPr>
              <w:t>to</w:t>
            </w:r>
            <w:proofErr w:type="spellEnd"/>
            <w:r>
              <w:rPr>
                <w:sz w:val="20"/>
                <w:szCs w:val="20"/>
              </w:rPr>
              <w:t xml:space="preserve"> </w:t>
            </w:r>
            <w:proofErr w:type="spellStart"/>
            <w:r>
              <w:rPr>
                <w:sz w:val="20"/>
                <w:szCs w:val="20"/>
              </w:rPr>
              <w:t>commence</w:t>
            </w:r>
            <w:proofErr w:type="spellEnd"/>
            <w:r>
              <w:rPr>
                <w:sz w:val="20"/>
                <w:szCs w:val="20"/>
              </w:rPr>
              <w:t xml:space="preserve"> in November 2015. A </w:t>
            </w:r>
            <w:proofErr w:type="spellStart"/>
            <w:r>
              <w:rPr>
                <w:sz w:val="20"/>
                <w:szCs w:val="20"/>
              </w:rPr>
              <w:t>number</w:t>
            </w:r>
            <w:proofErr w:type="spellEnd"/>
            <w:r>
              <w:rPr>
                <w:sz w:val="20"/>
                <w:szCs w:val="20"/>
              </w:rPr>
              <w:t xml:space="preserve"> of </w:t>
            </w:r>
            <w:proofErr w:type="spellStart"/>
            <w:r>
              <w:rPr>
                <w:sz w:val="20"/>
                <w:szCs w:val="20"/>
              </w:rPr>
              <w:t>international</w:t>
            </w:r>
            <w:proofErr w:type="spellEnd"/>
            <w:r>
              <w:rPr>
                <w:sz w:val="20"/>
                <w:szCs w:val="20"/>
              </w:rPr>
              <w:t xml:space="preserve"> </w:t>
            </w:r>
            <w:proofErr w:type="spellStart"/>
            <w:r>
              <w:rPr>
                <w:sz w:val="20"/>
                <w:szCs w:val="20"/>
              </w:rPr>
              <w:t>organisations</w:t>
            </w:r>
            <w:proofErr w:type="spellEnd"/>
            <w:r>
              <w:rPr>
                <w:sz w:val="20"/>
                <w:szCs w:val="20"/>
              </w:rPr>
              <w:t xml:space="preserve"> </w:t>
            </w:r>
            <w:proofErr w:type="spellStart"/>
            <w:r>
              <w:rPr>
                <w:sz w:val="20"/>
                <w:szCs w:val="20"/>
              </w:rPr>
              <w:t>will</w:t>
            </w:r>
            <w:proofErr w:type="spellEnd"/>
            <w:r>
              <w:rPr>
                <w:sz w:val="20"/>
                <w:szCs w:val="20"/>
              </w:rPr>
              <w:t xml:space="preserve"> </w:t>
            </w:r>
            <w:proofErr w:type="spellStart"/>
            <w:r>
              <w:rPr>
                <w:sz w:val="20"/>
                <w:szCs w:val="20"/>
              </w:rPr>
              <w:t>be</w:t>
            </w:r>
            <w:proofErr w:type="spellEnd"/>
            <w:r>
              <w:rPr>
                <w:sz w:val="20"/>
                <w:szCs w:val="20"/>
              </w:rPr>
              <w:t xml:space="preserve"> </w:t>
            </w:r>
            <w:proofErr w:type="spellStart"/>
            <w:r>
              <w:rPr>
                <w:sz w:val="20"/>
                <w:szCs w:val="20"/>
              </w:rPr>
              <w:t>invited</w:t>
            </w:r>
            <w:proofErr w:type="spellEnd"/>
            <w:r>
              <w:rPr>
                <w:sz w:val="20"/>
                <w:szCs w:val="20"/>
              </w:rPr>
              <w:t xml:space="preserve"> </w:t>
            </w:r>
            <w:proofErr w:type="spellStart"/>
            <w:r>
              <w:rPr>
                <w:sz w:val="20"/>
                <w:szCs w:val="20"/>
              </w:rPr>
              <w:t>to</w:t>
            </w:r>
            <w:proofErr w:type="spellEnd"/>
            <w:r>
              <w:rPr>
                <w:sz w:val="20"/>
                <w:szCs w:val="20"/>
              </w:rPr>
              <w:t xml:space="preserve"> </w:t>
            </w:r>
            <w:proofErr w:type="spellStart"/>
            <w:r>
              <w:rPr>
                <w:sz w:val="20"/>
                <w:szCs w:val="20"/>
              </w:rPr>
              <w:t>participate</w:t>
            </w:r>
            <w:proofErr w:type="spellEnd"/>
            <w:r>
              <w:rPr>
                <w:sz w:val="20"/>
                <w:szCs w:val="20"/>
              </w:rPr>
              <w:t xml:space="preserve"> in the </w:t>
            </w:r>
            <w:proofErr w:type="spellStart"/>
            <w:r>
              <w:rPr>
                <w:sz w:val="20"/>
                <w:szCs w:val="20"/>
              </w:rPr>
              <w:t>work</w:t>
            </w:r>
            <w:proofErr w:type="spellEnd"/>
            <w:r>
              <w:rPr>
                <w:sz w:val="20"/>
                <w:szCs w:val="20"/>
              </w:rPr>
              <w:t xml:space="preserve"> as </w:t>
            </w:r>
            <w:proofErr w:type="spellStart"/>
            <w:r>
              <w:rPr>
                <w:sz w:val="20"/>
                <w:szCs w:val="20"/>
              </w:rPr>
              <w:t>observers</w:t>
            </w:r>
            <w:proofErr w:type="spellEnd"/>
            <w:r>
              <w:rPr>
                <w:sz w:val="20"/>
                <w:szCs w:val="20"/>
              </w:rPr>
              <w:t>.</w:t>
            </w:r>
          </w:p>
          <w:p w:rsidR="00E567E9" w:rsidRDefault="00E567E9">
            <w:pPr>
              <w:pStyle w:val="Lijstalinea"/>
              <w:spacing w:line="276" w:lineRule="auto"/>
              <w:ind w:left="426"/>
              <w:rPr>
                <w:sz w:val="20"/>
                <w:szCs w:val="20"/>
              </w:rPr>
            </w:pPr>
          </w:p>
          <w:p w:rsidR="00E567E9" w:rsidRDefault="00E567E9">
            <w:pPr>
              <w:pStyle w:val="Lijstalinea"/>
              <w:spacing w:line="276" w:lineRule="auto"/>
              <w:ind w:left="1068" w:hanging="360"/>
              <w:rPr>
                <w:sz w:val="20"/>
                <w:szCs w:val="20"/>
              </w:rPr>
            </w:pPr>
            <w:r>
              <w:rPr>
                <w:sz w:val="20"/>
                <w:szCs w:val="20"/>
              </w:rPr>
              <w:t>-</w:t>
            </w:r>
            <w:r>
              <w:rPr>
                <w:rFonts w:ascii="Times New Roman" w:hAnsi="Times New Roman"/>
                <w:sz w:val="14"/>
                <w:szCs w:val="14"/>
              </w:rPr>
              <w:t xml:space="preserve">          </w:t>
            </w:r>
            <w:r>
              <w:rPr>
                <w:sz w:val="20"/>
                <w:szCs w:val="20"/>
              </w:rPr>
              <w:t xml:space="preserve">OECD </w:t>
            </w:r>
            <w:proofErr w:type="spellStart"/>
            <w:r>
              <w:rPr>
                <w:sz w:val="20"/>
                <w:szCs w:val="20"/>
              </w:rPr>
              <w:t>press</w:t>
            </w:r>
            <w:proofErr w:type="spellEnd"/>
            <w:r>
              <w:rPr>
                <w:sz w:val="20"/>
                <w:szCs w:val="20"/>
              </w:rPr>
              <w:t xml:space="preserve"> release, 28 May 2015: </w:t>
            </w:r>
            <w:hyperlink r:id="rId8" w:history="1">
              <w:r>
                <w:rPr>
                  <w:rStyle w:val="Hyperlink"/>
                  <w:sz w:val="20"/>
                  <w:szCs w:val="20"/>
                </w:rPr>
                <w:t>EN</w:t>
              </w:r>
            </w:hyperlink>
            <w:r>
              <w:rPr>
                <w:sz w:val="20"/>
                <w:szCs w:val="20"/>
              </w:rPr>
              <w:t xml:space="preserve"> (FR </w:t>
            </w:r>
            <w:proofErr w:type="spellStart"/>
            <w:r>
              <w:rPr>
                <w:sz w:val="20"/>
                <w:szCs w:val="20"/>
              </w:rPr>
              <w:t>available</w:t>
            </w:r>
            <w:proofErr w:type="spellEnd"/>
            <w:r>
              <w:rPr>
                <w:sz w:val="20"/>
                <w:szCs w:val="20"/>
              </w:rPr>
              <w:t>)</w:t>
            </w:r>
          </w:p>
          <w:p w:rsidR="00E567E9" w:rsidRDefault="00E567E9">
            <w:pPr>
              <w:pStyle w:val="Lijstalinea"/>
              <w:spacing w:line="276" w:lineRule="auto"/>
              <w:ind w:left="1068" w:hanging="360"/>
              <w:rPr>
                <w:sz w:val="20"/>
                <w:szCs w:val="20"/>
              </w:rPr>
            </w:pPr>
            <w:r>
              <w:rPr>
                <w:sz w:val="20"/>
                <w:szCs w:val="20"/>
              </w:rPr>
              <w:t>-</w:t>
            </w:r>
            <w:r>
              <w:rPr>
                <w:rFonts w:ascii="Times New Roman" w:hAnsi="Times New Roman"/>
                <w:sz w:val="14"/>
                <w:szCs w:val="14"/>
              </w:rPr>
              <w:t xml:space="preserve">          </w:t>
            </w:r>
            <w:r>
              <w:rPr>
                <w:sz w:val="20"/>
                <w:szCs w:val="20"/>
              </w:rPr>
              <w:t xml:space="preserve">CFE Opinion Statement FC 15/2014 of December 2014 on a </w:t>
            </w:r>
            <w:proofErr w:type="spellStart"/>
            <w:r>
              <w:rPr>
                <w:sz w:val="20"/>
                <w:szCs w:val="20"/>
              </w:rPr>
              <w:t>multilateral</w:t>
            </w:r>
            <w:proofErr w:type="spellEnd"/>
            <w:r>
              <w:rPr>
                <w:sz w:val="20"/>
                <w:szCs w:val="20"/>
              </w:rPr>
              <w:t xml:space="preserve"> instrument </w:t>
            </w:r>
            <w:proofErr w:type="spellStart"/>
            <w:r>
              <w:rPr>
                <w:sz w:val="20"/>
                <w:szCs w:val="20"/>
              </w:rPr>
              <w:t>to</w:t>
            </w:r>
            <w:proofErr w:type="spellEnd"/>
            <w:r>
              <w:rPr>
                <w:sz w:val="20"/>
                <w:szCs w:val="20"/>
              </w:rPr>
              <w:t xml:space="preserve"> </w:t>
            </w:r>
            <w:proofErr w:type="spellStart"/>
            <w:r>
              <w:rPr>
                <w:sz w:val="20"/>
                <w:szCs w:val="20"/>
              </w:rPr>
              <w:t>modify</w:t>
            </w:r>
            <w:proofErr w:type="spellEnd"/>
            <w:r>
              <w:rPr>
                <w:sz w:val="20"/>
                <w:szCs w:val="20"/>
              </w:rPr>
              <w:t xml:space="preserve"> </w:t>
            </w:r>
            <w:proofErr w:type="spellStart"/>
            <w:r>
              <w:rPr>
                <w:sz w:val="20"/>
                <w:szCs w:val="20"/>
              </w:rPr>
              <w:t>bilateral</w:t>
            </w:r>
            <w:proofErr w:type="spellEnd"/>
            <w:r>
              <w:rPr>
                <w:sz w:val="20"/>
                <w:szCs w:val="20"/>
              </w:rPr>
              <w:t xml:space="preserve"> tax </w:t>
            </w:r>
            <w:proofErr w:type="spellStart"/>
            <w:r>
              <w:rPr>
                <w:sz w:val="20"/>
                <w:szCs w:val="20"/>
              </w:rPr>
              <w:t>treaties</w:t>
            </w:r>
            <w:proofErr w:type="spellEnd"/>
            <w:r>
              <w:rPr>
                <w:sz w:val="20"/>
                <w:szCs w:val="20"/>
              </w:rPr>
              <w:t xml:space="preserve">: </w:t>
            </w:r>
            <w:hyperlink r:id="rId9" w:history="1">
              <w:r>
                <w:rPr>
                  <w:rStyle w:val="Hyperlink"/>
                  <w:sz w:val="20"/>
                  <w:szCs w:val="20"/>
                </w:rPr>
                <w:t>EN</w:t>
              </w:r>
            </w:hyperlink>
          </w:p>
          <w:p w:rsidR="00E567E9" w:rsidRDefault="00E567E9">
            <w:pPr>
              <w:pStyle w:val="Lijstalinea"/>
              <w:spacing w:line="276" w:lineRule="auto"/>
              <w:ind w:left="426"/>
              <w:rPr>
                <w:sz w:val="20"/>
                <w:szCs w:val="20"/>
              </w:rPr>
            </w:pPr>
          </w:p>
          <w:p w:rsidR="00E567E9" w:rsidRDefault="00E567E9">
            <w:pPr>
              <w:pStyle w:val="Lijstalinea"/>
              <w:spacing w:line="276" w:lineRule="auto"/>
              <w:ind w:left="426"/>
              <w:rPr>
                <w:sz w:val="20"/>
                <w:szCs w:val="20"/>
              </w:rPr>
            </w:pPr>
          </w:p>
          <w:p w:rsidR="00E567E9" w:rsidRDefault="00E567E9">
            <w:pPr>
              <w:pStyle w:val="Lijstalinea"/>
              <w:spacing w:line="276" w:lineRule="auto"/>
              <w:ind w:hanging="436"/>
              <w:rPr>
                <w:b/>
                <w:bCs/>
                <w:sz w:val="20"/>
                <w:szCs w:val="20"/>
              </w:rPr>
            </w:pPr>
            <w:r>
              <w:rPr>
                <w:b/>
                <w:bCs/>
                <w:sz w:val="20"/>
                <w:szCs w:val="20"/>
              </w:rPr>
              <w:t>3.</w:t>
            </w:r>
            <w:r>
              <w:rPr>
                <w:rFonts w:ascii="Times New Roman" w:hAnsi="Times New Roman"/>
                <w:b/>
                <w:bCs/>
                <w:sz w:val="14"/>
                <w:szCs w:val="14"/>
              </w:rPr>
              <w:t xml:space="preserve">         </w:t>
            </w:r>
            <w:r>
              <w:rPr>
                <w:b/>
                <w:bCs/>
                <w:sz w:val="20"/>
                <w:szCs w:val="20"/>
              </w:rPr>
              <w:t xml:space="preserve">Exchange of tax information: OECD issues compliance ratings on the </w:t>
            </w:r>
            <w:proofErr w:type="spellStart"/>
            <w:r>
              <w:rPr>
                <w:b/>
                <w:bCs/>
                <w:sz w:val="20"/>
                <w:szCs w:val="20"/>
              </w:rPr>
              <w:t>Czech</w:t>
            </w:r>
            <w:proofErr w:type="spellEnd"/>
            <w:r>
              <w:rPr>
                <w:b/>
                <w:bCs/>
                <w:sz w:val="20"/>
                <w:szCs w:val="20"/>
              </w:rPr>
              <w:t xml:space="preserve"> </w:t>
            </w:r>
            <w:proofErr w:type="spellStart"/>
            <w:r>
              <w:rPr>
                <w:b/>
                <w:bCs/>
                <w:sz w:val="20"/>
                <w:szCs w:val="20"/>
              </w:rPr>
              <w:t>Republic</w:t>
            </w:r>
            <w:proofErr w:type="spellEnd"/>
            <w:r>
              <w:rPr>
                <w:b/>
                <w:bCs/>
                <w:sz w:val="20"/>
                <w:szCs w:val="20"/>
              </w:rPr>
              <w:t xml:space="preserve"> </w:t>
            </w:r>
            <w:proofErr w:type="spellStart"/>
            <w:r>
              <w:rPr>
                <w:b/>
                <w:bCs/>
                <w:sz w:val="20"/>
                <w:szCs w:val="20"/>
              </w:rPr>
              <w:t>and</w:t>
            </w:r>
            <w:proofErr w:type="spellEnd"/>
            <w:r>
              <w:rPr>
                <w:b/>
                <w:bCs/>
                <w:sz w:val="20"/>
                <w:szCs w:val="20"/>
              </w:rPr>
              <w:t xml:space="preserve"> </w:t>
            </w:r>
            <w:proofErr w:type="spellStart"/>
            <w:r>
              <w:rPr>
                <w:b/>
                <w:bCs/>
                <w:sz w:val="20"/>
                <w:szCs w:val="20"/>
              </w:rPr>
              <w:t>others</w:t>
            </w:r>
            <w:proofErr w:type="spellEnd"/>
          </w:p>
          <w:p w:rsidR="00E567E9" w:rsidRDefault="00E567E9">
            <w:pPr>
              <w:pStyle w:val="Lijstalinea"/>
              <w:spacing w:line="276" w:lineRule="auto"/>
              <w:rPr>
                <w:b/>
                <w:bCs/>
                <w:sz w:val="20"/>
                <w:szCs w:val="20"/>
              </w:rPr>
            </w:pPr>
          </w:p>
          <w:p w:rsidR="00E567E9" w:rsidRDefault="00E567E9">
            <w:pPr>
              <w:pStyle w:val="Lijstalinea"/>
              <w:spacing w:line="276" w:lineRule="auto"/>
              <w:ind w:left="426"/>
              <w:rPr>
                <w:sz w:val="20"/>
                <w:szCs w:val="20"/>
              </w:rPr>
            </w:pPr>
            <w:r>
              <w:rPr>
                <w:sz w:val="20"/>
                <w:szCs w:val="20"/>
              </w:rPr>
              <w:t xml:space="preserve">On 27 May 2015, the </w:t>
            </w:r>
            <w:r>
              <w:rPr>
                <w:sz w:val="20"/>
                <w:szCs w:val="20"/>
                <w:lang w:val="en"/>
              </w:rPr>
              <w:t xml:space="preserve">OECD Global Forum on Transparency and Exchange of Information for Tax Purposes published new compliance ratings from the Czech Republic, Kazakhstan and Morocco. The Global Forum´s rating process consists of two phases: phase 1 evaluates the legal and regulatory framework for the information exchange while phase 2 assesses the exchange in practice. For the Czech Republic which received the overall rating “largely compliant”, the process has been completed. Morocco and Kazakhstan finished the phase 1 </w:t>
            </w:r>
            <w:r>
              <w:rPr>
                <w:sz w:val="20"/>
                <w:szCs w:val="20"/>
                <w:lang w:val="en"/>
              </w:rPr>
              <w:lastRenderedPageBreak/>
              <w:t>review. While Morocco will move to phase 2, Kazakhstan is not yet ready for this step, as the legal framework for information exchange is considered insufficient.</w:t>
            </w:r>
          </w:p>
          <w:p w:rsidR="00E567E9" w:rsidRDefault="00E567E9">
            <w:pPr>
              <w:pStyle w:val="Lijstalinea"/>
              <w:spacing w:line="276" w:lineRule="auto"/>
              <w:rPr>
                <w:sz w:val="20"/>
                <w:szCs w:val="20"/>
              </w:rPr>
            </w:pPr>
          </w:p>
          <w:p w:rsidR="00E567E9" w:rsidRDefault="00E567E9">
            <w:pPr>
              <w:pStyle w:val="Lijstalinea"/>
              <w:spacing w:line="276" w:lineRule="auto"/>
              <w:ind w:hanging="360"/>
              <w:rPr>
                <w:sz w:val="20"/>
                <w:szCs w:val="20"/>
              </w:rPr>
            </w:pPr>
            <w:r>
              <w:rPr>
                <w:sz w:val="20"/>
                <w:szCs w:val="20"/>
              </w:rPr>
              <w:t>-</w:t>
            </w:r>
            <w:r>
              <w:rPr>
                <w:rFonts w:ascii="Times New Roman" w:hAnsi="Times New Roman"/>
                <w:sz w:val="14"/>
                <w:szCs w:val="14"/>
              </w:rPr>
              <w:t xml:space="preserve">          </w:t>
            </w:r>
            <w:proofErr w:type="spellStart"/>
            <w:r>
              <w:rPr>
                <w:sz w:val="20"/>
                <w:szCs w:val="20"/>
              </w:rPr>
              <w:t>All</w:t>
            </w:r>
            <w:proofErr w:type="spellEnd"/>
            <w:r>
              <w:rPr>
                <w:sz w:val="20"/>
                <w:szCs w:val="20"/>
              </w:rPr>
              <w:t xml:space="preserve"> compliance ratings (May 2015): </w:t>
            </w:r>
            <w:hyperlink r:id="rId10" w:history="1">
              <w:r>
                <w:rPr>
                  <w:rStyle w:val="Hyperlink"/>
                  <w:sz w:val="20"/>
                  <w:szCs w:val="20"/>
                </w:rPr>
                <w:t>EN</w:t>
              </w:r>
            </w:hyperlink>
          </w:p>
          <w:p w:rsidR="00E567E9" w:rsidRDefault="00E567E9">
            <w:pPr>
              <w:pStyle w:val="Lijstalinea"/>
              <w:spacing w:line="276" w:lineRule="auto"/>
              <w:ind w:hanging="360"/>
              <w:rPr>
                <w:sz w:val="20"/>
                <w:szCs w:val="20"/>
              </w:rPr>
            </w:pPr>
            <w:r>
              <w:rPr>
                <w:sz w:val="20"/>
                <w:szCs w:val="20"/>
              </w:rPr>
              <w:t>-</w:t>
            </w:r>
            <w:r>
              <w:rPr>
                <w:rFonts w:ascii="Times New Roman" w:hAnsi="Times New Roman"/>
                <w:sz w:val="14"/>
                <w:szCs w:val="14"/>
              </w:rPr>
              <w:t xml:space="preserve">          </w:t>
            </w:r>
            <w:r>
              <w:rPr>
                <w:sz w:val="20"/>
                <w:szCs w:val="20"/>
              </w:rPr>
              <w:t xml:space="preserve">Report on the </w:t>
            </w:r>
            <w:proofErr w:type="spellStart"/>
            <w:r>
              <w:rPr>
                <w:sz w:val="20"/>
                <w:szCs w:val="20"/>
              </w:rPr>
              <w:t>Czech</w:t>
            </w:r>
            <w:proofErr w:type="spellEnd"/>
            <w:r>
              <w:rPr>
                <w:sz w:val="20"/>
                <w:szCs w:val="20"/>
              </w:rPr>
              <w:t xml:space="preserve"> </w:t>
            </w:r>
            <w:proofErr w:type="spellStart"/>
            <w:r>
              <w:rPr>
                <w:sz w:val="20"/>
                <w:szCs w:val="20"/>
              </w:rPr>
              <w:t>Republic</w:t>
            </w:r>
            <w:proofErr w:type="spellEnd"/>
            <w:r>
              <w:rPr>
                <w:sz w:val="20"/>
                <w:szCs w:val="20"/>
              </w:rPr>
              <w:t xml:space="preserve">: </w:t>
            </w:r>
            <w:hyperlink r:id="rId11" w:history="1">
              <w:r>
                <w:rPr>
                  <w:rStyle w:val="Hyperlink"/>
                  <w:sz w:val="20"/>
                  <w:szCs w:val="20"/>
                </w:rPr>
                <w:t>EN</w:t>
              </w:r>
            </w:hyperlink>
          </w:p>
          <w:p w:rsidR="00E567E9" w:rsidRDefault="00E567E9">
            <w:pPr>
              <w:pStyle w:val="Lijstalinea"/>
              <w:spacing w:line="276" w:lineRule="auto"/>
              <w:ind w:hanging="360"/>
              <w:rPr>
                <w:sz w:val="20"/>
                <w:szCs w:val="20"/>
              </w:rPr>
            </w:pPr>
            <w:r>
              <w:rPr>
                <w:sz w:val="20"/>
                <w:szCs w:val="20"/>
              </w:rPr>
              <w:t>-</w:t>
            </w:r>
            <w:r>
              <w:rPr>
                <w:rFonts w:ascii="Times New Roman" w:hAnsi="Times New Roman"/>
                <w:sz w:val="14"/>
                <w:szCs w:val="14"/>
              </w:rPr>
              <w:t xml:space="preserve">          </w:t>
            </w:r>
            <w:r>
              <w:rPr>
                <w:sz w:val="20"/>
                <w:szCs w:val="20"/>
              </w:rPr>
              <w:t xml:space="preserve">OECD </w:t>
            </w:r>
            <w:proofErr w:type="spellStart"/>
            <w:r>
              <w:rPr>
                <w:sz w:val="20"/>
                <w:szCs w:val="20"/>
              </w:rPr>
              <w:t>press</w:t>
            </w:r>
            <w:proofErr w:type="spellEnd"/>
            <w:r>
              <w:rPr>
                <w:sz w:val="20"/>
                <w:szCs w:val="20"/>
              </w:rPr>
              <w:t xml:space="preserve"> release, 27 May 2015: </w:t>
            </w:r>
            <w:hyperlink r:id="rId12" w:history="1">
              <w:r>
                <w:rPr>
                  <w:rStyle w:val="Hyperlink"/>
                  <w:sz w:val="20"/>
                  <w:szCs w:val="20"/>
                </w:rPr>
                <w:t>EN</w:t>
              </w:r>
            </w:hyperlink>
            <w:r>
              <w:rPr>
                <w:sz w:val="20"/>
                <w:szCs w:val="20"/>
              </w:rPr>
              <w:t xml:space="preserve"> (FR </w:t>
            </w:r>
            <w:proofErr w:type="spellStart"/>
            <w:r>
              <w:rPr>
                <w:sz w:val="20"/>
                <w:szCs w:val="20"/>
              </w:rPr>
              <w:t>available</w:t>
            </w:r>
            <w:proofErr w:type="spellEnd"/>
            <w:r>
              <w:rPr>
                <w:sz w:val="20"/>
                <w:szCs w:val="20"/>
              </w:rPr>
              <w:t>)</w:t>
            </w:r>
          </w:p>
          <w:p w:rsidR="00E567E9" w:rsidRDefault="00E567E9">
            <w:pPr>
              <w:pStyle w:val="Lijstalinea"/>
              <w:spacing w:line="276" w:lineRule="auto"/>
              <w:rPr>
                <w:b/>
                <w:bCs/>
                <w:sz w:val="20"/>
                <w:szCs w:val="20"/>
              </w:rPr>
            </w:pPr>
          </w:p>
          <w:p w:rsidR="00E567E9" w:rsidRDefault="00E567E9">
            <w:pPr>
              <w:pStyle w:val="Lijstalinea"/>
              <w:spacing w:line="276" w:lineRule="auto"/>
              <w:rPr>
                <w:b/>
                <w:bCs/>
                <w:sz w:val="20"/>
                <w:szCs w:val="20"/>
              </w:rPr>
            </w:pPr>
          </w:p>
          <w:p w:rsidR="00E567E9" w:rsidRDefault="00E567E9">
            <w:pPr>
              <w:pStyle w:val="Lijstalinea"/>
              <w:spacing w:line="276" w:lineRule="auto"/>
              <w:ind w:hanging="436"/>
              <w:rPr>
                <w:b/>
                <w:bCs/>
                <w:sz w:val="20"/>
                <w:szCs w:val="20"/>
              </w:rPr>
            </w:pPr>
            <w:r>
              <w:rPr>
                <w:b/>
                <w:bCs/>
                <w:sz w:val="20"/>
                <w:szCs w:val="20"/>
              </w:rPr>
              <w:t>4.</w:t>
            </w:r>
            <w:r>
              <w:rPr>
                <w:rFonts w:ascii="Times New Roman" w:hAnsi="Times New Roman"/>
                <w:b/>
                <w:bCs/>
                <w:sz w:val="14"/>
                <w:szCs w:val="14"/>
              </w:rPr>
              <w:t xml:space="preserve">         </w:t>
            </w:r>
            <w:r>
              <w:rPr>
                <w:b/>
                <w:bCs/>
                <w:sz w:val="20"/>
                <w:szCs w:val="20"/>
              </w:rPr>
              <w:t xml:space="preserve">EU </w:t>
            </w:r>
            <w:proofErr w:type="spellStart"/>
            <w:r>
              <w:rPr>
                <w:b/>
                <w:bCs/>
                <w:sz w:val="20"/>
                <w:szCs w:val="20"/>
              </w:rPr>
              <w:t>and</w:t>
            </w:r>
            <w:proofErr w:type="spellEnd"/>
            <w:r>
              <w:rPr>
                <w:b/>
                <w:bCs/>
                <w:sz w:val="20"/>
                <w:szCs w:val="20"/>
              </w:rPr>
              <w:t xml:space="preserve"> Switzerland </w:t>
            </w:r>
            <w:proofErr w:type="spellStart"/>
            <w:r>
              <w:rPr>
                <w:b/>
                <w:bCs/>
                <w:sz w:val="20"/>
                <w:szCs w:val="20"/>
              </w:rPr>
              <w:t>sign</w:t>
            </w:r>
            <w:proofErr w:type="spellEnd"/>
            <w:r>
              <w:rPr>
                <w:b/>
                <w:bCs/>
                <w:sz w:val="20"/>
                <w:szCs w:val="20"/>
              </w:rPr>
              <w:t xml:space="preserve"> exchange of bank account information agreement</w:t>
            </w:r>
          </w:p>
          <w:p w:rsidR="00E567E9" w:rsidRDefault="00E567E9">
            <w:pPr>
              <w:pStyle w:val="Lijstalinea"/>
              <w:spacing w:line="276" w:lineRule="auto"/>
              <w:rPr>
                <w:b/>
                <w:bCs/>
                <w:sz w:val="20"/>
                <w:szCs w:val="20"/>
              </w:rPr>
            </w:pPr>
          </w:p>
          <w:p w:rsidR="00E567E9" w:rsidRDefault="00E567E9">
            <w:pPr>
              <w:pStyle w:val="Lijstalinea"/>
              <w:spacing w:line="276" w:lineRule="auto"/>
              <w:ind w:left="426"/>
              <w:rPr>
                <w:sz w:val="20"/>
                <w:szCs w:val="20"/>
                <w:lang w:val="en"/>
              </w:rPr>
            </w:pPr>
            <w:r>
              <w:rPr>
                <w:sz w:val="20"/>
                <w:szCs w:val="20"/>
              </w:rPr>
              <w:t xml:space="preserve">On 27 May 2015, </w:t>
            </w:r>
            <w:r>
              <w:rPr>
                <w:sz w:val="20"/>
                <w:szCs w:val="20"/>
                <w:lang w:val="en"/>
              </w:rPr>
              <w:t xml:space="preserve">EU Commissioner Pierre </w:t>
            </w:r>
            <w:proofErr w:type="spellStart"/>
            <w:r>
              <w:rPr>
                <w:sz w:val="20"/>
                <w:szCs w:val="20"/>
                <w:lang w:val="en"/>
              </w:rPr>
              <w:t>Moscovici</w:t>
            </w:r>
            <w:proofErr w:type="spellEnd"/>
            <w:r>
              <w:rPr>
                <w:sz w:val="20"/>
                <w:szCs w:val="20"/>
                <w:lang w:val="en"/>
              </w:rPr>
              <w:t xml:space="preserve"> and the Swiss State Secretary for International Financial Matters, Jacques de </w:t>
            </w:r>
            <w:proofErr w:type="spellStart"/>
            <w:r>
              <w:rPr>
                <w:sz w:val="20"/>
                <w:szCs w:val="20"/>
                <w:lang w:val="en"/>
              </w:rPr>
              <w:t>Watteville</w:t>
            </w:r>
            <w:proofErr w:type="spellEnd"/>
            <w:r>
              <w:rPr>
                <w:sz w:val="20"/>
                <w:szCs w:val="20"/>
                <w:lang w:val="en"/>
              </w:rPr>
              <w:t>, signed an agreement according to which EU member states and Switzerland will automatically exchange information on the financial accounts of each other's residents from 2018. The set of information to be exchanged is in accordance with the OECD Common Reporting Standard presented in 2014 and transposed into EU law in December 2014. Andorra, Liechtenstein, Monaco and San Marino are expected to sign similar agreements with the EU by the end of this year.</w:t>
            </w:r>
          </w:p>
          <w:p w:rsidR="00E567E9" w:rsidRDefault="00E567E9">
            <w:pPr>
              <w:pStyle w:val="Lijstalinea"/>
              <w:spacing w:line="276" w:lineRule="auto"/>
              <w:ind w:left="426"/>
              <w:rPr>
                <w:sz w:val="20"/>
                <w:szCs w:val="20"/>
                <w:lang w:val="en"/>
              </w:rPr>
            </w:pPr>
            <w:r>
              <w:rPr>
                <w:sz w:val="20"/>
                <w:szCs w:val="20"/>
                <w:lang w:val="en"/>
              </w:rPr>
              <w:t>The agreement also contains provisions to limit the possibility to escape from the reporting provisions by shifting assets or investing in products outside the scope of the agreement.</w:t>
            </w:r>
          </w:p>
          <w:p w:rsidR="00E567E9" w:rsidRDefault="00E567E9">
            <w:pPr>
              <w:pStyle w:val="Lijstalinea"/>
              <w:spacing w:line="276" w:lineRule="auto"/>
              <w:ind w:left="426"/>
              <w:rPr>
                <w:sz w:val="20"/>
                <w:szCs w:val="20"/>
                <w:lang w:val="en"/>
              </w:rPr>
            </w:pPr>
          </w:p>
          <w:p w:rsidR="00E567E9" w:rsidRDefault="00E567E9">
            <w:pPr>
              <w:pStyle w:val="Lijstalinea"/>
              <w:spacing w:line="276" w:lineRule="auto"/>
              <w:ind w:hanging="360"/>
              <w:rPr>
                <w:sz w:val="20"/>
                <w:szCs w:val="20"/>
              </w:rPr>
            </w:pPr>
            <w:r>
              <w:rPr>
                <w:sz w:val="20"/>
                <w:szCs w:val="20"/>
              </w:rPr>
              <w:t>-</w:t>
            </w:r>
            <w:r>
              <w:rPr>
                <w:rFonts w:ascii="Times New Roman" w:hAnsi="Times New Roman"/>
                <w:sz w:val="14"/>
                <w:szCs w:val="14"/>
              </w:rPr>
              <w:t xml:space="preserve">          </w:t>
            </w:r>
            <w:r>
              <w:rPr>
                <w:sz w:val="20"/>
                <w:szCs w:val="20"/>
              </w:rPr>
              <w:t xml:space="preserve">European </w:t>
            </w:r>
            <w:proofErr w:type="spellStart"/>
            <w:r>
              <w:rPr>
                <w:sz w:val="20"/>
                <w:szCs w:val="20"/>
              </w:rPr>
              <w:t>Commission</w:t>
            </w:r>
            <w:proofErr w:type="spellEnd"/>
            <w:r>
              <w:rPr>
                <w:sz w:val="20"/>
                <w:szCs w:val="20"/>
              </w:rPr>
              <w:t xml:space="preserve"> </w:t>
            </w:r>
            <w:proofErr w:type="spellStart"/>
            <w:r>
              <w:rPr>
                <w:sz w:val="20"/>
                <w:szCs w:val="20"/>
              </w:rPr>
              <w:t>press</w:t>
            </w:r>
            <w:proofErr w:type="spellEnd"/>
            <w:r>
              <w:rPr>
                <w:sz w:val="20"/>
                <w:szCs w:val="20"/>
              </w:rPr>
              <w:t xml:space="preserve"> release, 27 May 2015 : </w:t>
            </w:r>
            <w:hyperlink r:id="rId13" w:history="1">
              <w:r>
                <w:rPr>
                  <w:rStyle w:val="Hyperlink"/>
                  <w:sz w:val="20"/>
                  <w:szCs w:val="20"/>
                </w:rPr>
                <w:t>EN</w:t>
              </w:r>
            </w:hyperlink>
          </w:p>
          <w:p w:rsidR="00E567E9" w:rsidRDefault="00E567E9">
            <w:pPr>
              <w:pStyle w:val="Lijstalinea"/>
              <w:spacing w:line="276" w:lineRule="auto"/>
              <w:ind w:left="426"/>
              <w:rPr>
                <w:b/>
                <w:bCs/>
                <w:sz w:val="20"/>
                <w:szCs w:val="20"/>
              </w:rPr>
            </w:pPr>
          </w:p>
          <w:p w:rsidR="00E567E9" w:rsidRDefault="00E567E9">
            <w:pPr>
              <w:pStyle w:val="Lijstalinea"/>
              <w:spacing w:line="276" w:lineRule="auto"/>
              <w:ind w:left="426"/>
              <w:rPr>
                <w:b/>
                <w:bCs/>
                <w:sz w:val="20"/>
                <w:szCs w:val="20"/>
              </w:rPr>
            </w:pPr>
          </w:p>
          <w:p w:rsidR="00E567E9" w:rsidRDefault="00E567E9">
            <w:pPr>
              <w:pStyle w:val="Lijstalinea"/>
              <w:spacing w:line="276" w:lineRule="auto"/>
              <w:ind w:hanging="436"/>
              <w:rPr>
                <w:b/>
                <w:bCs/>
                <w:sz w:val="20"/>
                <w:szCs w:val="20"/>
              </w:rPr>
            </w:pPr>
            <w:r>
              <w:rPr>
                <w:b/>
                <w:bCs/>
                <w:sz w:val="20"/>
                <w:szCs w:val="20"/>
              </w:rPr>
              <w:t>5.</w:t>
            </w:r>
            <w:r>
              <w:rPr>
                <w:rFonts w:ascii="Times New Roman" w:hAnsi="Times New Roman"/>
                <w:b/>
                <w:bCs/>
                <w:sz w:val="14"/>
                <w:szCs w:val="14"/>
              </w:rPr>
              <w:t xml:space="preserve">         </w:t>
            </w:r>
            <w:r>
              <w:rPr>
                <w:b/>
                <w:bCs/>
                <w:sz w:val="20"/>
                <w:szCs w:val="20"/>
              </w:rPr>
              <w:t xml:space="preserve">OECD </w:t>
            </w:r>
            <w:proofErr w:type="spellStart"/>
            <w:r>
              <w:rPr>
                <w:b/>
                <w:bCs/>
                <w:sz w:val="20"/>
                <w:szCs w:val="20"/>
              </w:rPr>
              <w:t>will</w:t>
            </w:r>
            <w:proofErr w:type="spellEnd"/>
            <w:r>
              <w:rPr>
                <w:b/>
                <w:bCs/>
                <w:sz w:val="20"/>
                <w:szCs w:val="20"/>
              </w:rPr>
              <w:t xml:space="preserve"> </w:t>
            </w:r>
            <w:proofErr w:type="spellStart"/>
            <w:r>
              <w:rPr>
                <w:b/>
                <w:bCs/>
                <w:sz w:val="20"/>
                <w:szCs w:val="20"/>
              </w:rPr>
              <w:t>provide</w:t>
            </w:r>
            <w:proofErr w:type="spellEnd"/>
            <w:r>
              <w:rPr>
                <w:b/>
                <w:bCs/>
                <w:sz w:val="20"/>
                <w:szCs w:val="20"/>
              </w:rPr>
              <w:t xml:space="preserve"> update on BEPS </w:t>
            </w:r>
            <w:proofErr w:type="spellStart"/>
            <w:r>
              <w:rPr>
                <w:b/>
                <w:bCs/>
                <w:sz w:val="20"/>
                <w:szCs w:val="20"/>
              </w:rPr>
              <w:t>progress</w:t>
            </w:r>
            <w:proofErr w:type="spellEnd"/>
            <w:r>
              <w:rPr>
                <w:b/>
                <w:bCs/>
                <w:sz w:val="20"/>
                <w:szCs w:val="20"/>
              </w:rPr>
              <w:t xml:space="preserve"> on 8 </w:t>
            </w:r>
            <w:proofErr w:type="spellStart"/>
            <w:r>
              <w:rPr>
                <w:b/>
                <w:bCs/>
                <w:sz w:val="20"/>
                <w:szCs w:val="20"/>
              </w:rPr>
              <w:t>June</w:t>
            </w:r>
            <w:proofErr w:type="spellEnd"/>
          </w:p>
          <w:p w:rsidR="00E567E9" w:rsidRDefault="00E567E9">
            <w:pPr>
              <w:pStyle w:val="Lijstalinea"/>
              <w:spacing w:line="276" w:lineRule="auto"/>
              <w:rPr>
                <w:sz w:val="20"/>
                <w:szCs w:val="20"/>
              </w:rPr>
            </w:pPr>
          </w:p>
          <w:p w:rsidR="00E567E9" w:rsidRDefault="00E567E9">
            <w:pPr>
              <w:pStyle w:val="Lijstalinea"/>
              <w:spacing w:line="276" w:lineRule="auto"/>
              <w:ind w:left="426"/>
              <w:rPr>
                <w:sz w:val="20"/>
                <w:szCs w:val="20"/>
              </w:rPr>
            </w:pPr>
            <w:r>
              <w:rPr>
                <w:sz w:val="20"/>
                <w:szCs w:val="20"/>
              </w:rPr>
              <w:t xml:space="preserve">On 8 </w:t>
            </w:r>
            <w:proofErr w:type="spellStart"/>
            <w:r>
              <w:rPr>
                <w:sz w:val="20"/>
                <w:szCs w:val="20"/>
              </w:rPr>
              <w:t>June</w:t>
            </w:r>
            <w:proofErr w:type="spellEnd"/>
            <w:r>
              <w:rPr>
                <w:sz w:val="20"/>
                <w:szCs w:val="20"/>
              </w:rPr>
              <w:t xml:space="preserve"> 2015, </w:t>
            </w:r>
            <w:proofErr w:type="spellStart"/>
            <w:r>
              <w:rPr>
                <w:sz w:val="20"/>
                <w:szCs w:val="20"/>
              </w:rPr>
              <w:t>from</w:t>
            </w:r>
            <w:proofErr w:type="spellEnd"/>
            <w:r>
              <w:rPr>
                <w:sz w:val="20"/>
                <w:szCs w:val="20"/>
              </w:rPr>
              <w:t xml:space="preserve"> 17:00 </w:t>
            </w:r>
            <w:proofErr w:type="spellStart"/>
            <w:r>
              <w:rPr>
                <w:sz w:val="20"/>
                <w:szCs w:val="20"/>
              </w:rPr>
              <w:t>to</w:t>
            </w:r>
            <w:proofErr w:type="spellEnd"/>
            <w:r>
              <w:rPr>
                <w:sz w:val="20"/>
                <w:szCs w:val="20"/>
              </w:rPr>
              <w:t xml:space="preserve"> 18:00 CET, the OECD </w:t>
            </w:r>
            <w:proofErr w:type="spellStart"/>
            <w:r>
              <w:rPr>
                <w:sz w:val="20"/>
                <w:szCs w:val="20"/>
              </w:rPr>
              <w:t>will</w:t>
            </w:r>
            <w:proofErr w:type="spellEnd"/>
            <w:r>
              <w:rPr>
                <w:sz w:val="20"/>
                <w:szCs w:val="20"/>
              </w:rPr>
              <w:t xml:space="preserve"> </w:t>
            </w:r>
            <w:proofErr w:type="spellStart"/>
            <w:r>
              <w:rPr>
                <w:sz w:val="20"/>
                <w:szCs w:val="20"/>
              </w:rPr>
              <w:t>give</w:t>
            </w:r>
            <w:proofErr w:type="spellEnd"/>
            <w:r>
              <w:rPr>
                <w:sz w:val="20"/>
                <w:szCs w:val="20"/>
              </w:rPr>
              <w:t xml:space="preserve"> a live update on recent </w:t>
            </w:r>
            <w:proofErr w:type="spellStart"/>
            <w:r>
              <w:rPr>
                <w:sz w:val="20"/>
                <w:szCs w:val="20"/>
              </w:rPr>
              <w:t>developments</w:t>
            </w:r>
            <w:proofErr w:type="spellEnd"/>
            <w:r>
              <w:rPr>
                <w:sz w:val="20"/>
                <w:szCs w:val="20"/>
              </w:rPr>
              <w:t xml:space="preserve"> in the BEPS project. </w:t>
            </w:r>
            <w:proofErr w:type="spellStart"/>
            <w:r>
              <w:rPr>
                <w:sz w:val="20"/>
                <w:szCs w:val="20"/>
              </w:rPr>
              <w:t>Previous</w:t>
            </w:r>
            <w:proofErr w:type="spellEnd"/>
            <w:r>
              <w:rPr>
                <w:sz w:val="20"/>
                <w:szCs w:val="20"/>
              </w:rPr>
              <w:t xml:space="preserve"> BEPS webcasts have been made </w:t>
            </w:r>
            <w:proofErr w:type="spellStart"/>
            <w:r>
              <w:rPr>
                <w:sz w:val="20"/>
                <w:szCs w:val="20"/>
              </w:rPr>
              <w:t>publicly</w:t>
            </w:r>
            <w:proofErr w:type="spellEnd"/>
            <w:r>
              <w:rPr>
                <w:sz w:val="20"/>
                <w:szCs w:val="20"/>
              </w:rPr>
              <w:t xml:space="preserve"> </w:t>
            </w:r>
            <w:proofErr w:type="spellStart"/>
            <w:r>
              <w:rPr>
                <w:sz w:val="20"/>
                <w:szCs w:val="20"/>
              </w:rPr>
              <w:t>available</w:t>
            </w:r>
            <w:proofErr w:type="spellEnd"/>
            <w:r>
              <w:rPr>
                <w:sz w:val="20"/>
                <w:szCs w:val="20"/>
              </w:rPr>
              <w:t xml:space="preserve"> </w:t>
            </w:r>
            <w:proofErr w:type="spellStart"/>
            <w:r>
              <w:rPr>
                <w:sz w:val="20"/>
                <w:szCs w:val="20"/>
              </w:rPr>
              <w:t>afterwards</w:t>
            </w:r>
            <w:proofErr w:type="spellEnd"/>
            <w:r>
              <w:rPr>
                <w:sz w:val="20"/>
                <w:szCs w:val="20"/>
              </w:rPr>
              <w:t>.</w:t>
            </w:r>
          </w:p>
          <w:p w:rsidR="00E567E9" w:rsidRDefault="00E567E9">
            <w:pPr>
              <w:pStyle w:val="Lijstalinea"/>
              <w:spacing w:line="276" w:lineRule="auto"/>
              <w:ind w:left="426"/>
              <w:rPr>
                <w:sz w:val="20"/>
                <w:szCs w:val="20"/>
              </w:rPr>
            </w:pPr>
          </w:p>
          <w:p w:rsidR="00E567E9" w:rsidRDefault="00E567E9">
            <w:pPr>
              <w:pStyle w:val="Lijstalinea"/>
              <w:spacing w:line="276" w:lineRule="auto"/>
              <w:ind w:hanging="360"/>
              <w:rPr>
                <w:sz w:val="20"/>
                <w:szCs w:val="20"/>
              </w:rPr>
            </w:pPr>
            <w:r>
              <w:rPr>
                <w:sz w:val="20"/>
                <w:szCs w:val="20"/>
              </w:rPr>
              <w:t>-</w:t>
            </w:r>
            <w:r>
              <w:rPr>
                <w:rFonts w:ascii="Times New Roman" w:hAnsi="Times New Roman"/>
                <w:sz w:val="14"/>
                <w:szCs w:val="14"/>
              </w:rPr>
              <w:t xml:space="preserve">          </w:t>
            </w:r>
            <w:proofErr w:type="spellStart"/>
            <w:r>
              <w:rPr>
                <w:sz w:val="20"/>
                <w:szCs w:val="20"/>
              </w:rPr>
              <w:t>Registration</w:t>
            </w:r>
            <w:proofErr w:type="spellEnd"/>
            <w:r>
              <w:rPr>
                <w:sz w:val="20"/>
                <w:szCs w:val="20"/>
              </w:rPr>
              <w:t xml:space="preserve">: </w:t>
            </w:r>
            <w:hyperlink r:id="rId14" w:history="1">
              <w:r>
                <w:rPr>
                  <w:rStyle w:val="Hyperlink"/>
                  <w:sz w:val="20"/>
                  <w:szCs w:val="20"/>
                </w:rPr>
                <w:t>EN</w:t>
              </w:r>
            </w:hyperlink>
          </w:p>
          <w:p w:rsidR="00E567E9" w:rsidRDefault="00E567E9">
            <w:pPr>
              <w:pStyle w:val="Lijstalinea"/>
              <w:spacing w:line="276" w:lineRule="auto"/>
              <w:rPr>
                <w:sz w:val="20"/>
                <w:szCs w:val="20"/>
              </w:rPr>
            </w:pPr>
          </w:p>
          <w:p w:rsidR="00E567E9" w:rsidRDefault="00E567E9">
            <w:pPr>
              <w:spacing w:line="276" w:lineRule="auto"/>
              <w:jc w:val="center"/>
              <w:rPr>
                <w:sz w:val="20"/>
                <w:szCs w:val="20"/>
              </w:rPr>
            </w:pPr>
            <w:r>
              <w:rPr>
                <w:sz w:val="20"/>
                <w:szCs w:val="20"/>
              </w:rPr>
              <w:t>*****</w:t>
            </w:r>
          </w:p>
          <w:p w:rsidR="00E567E9" w:rsidRDefault="00E567E9">
            <w:pPr>
              <w:spacing w:line="276" w:lineRule="auto"/>
              <w:jc w:val="both"/>
              <w:rPr>
                <w:sz w:val="20"/>
                <w:szCs w:val="20"/>
              </w:rPr>
            </w:pPr>
          </w:p>
          <w:p w:rsidR="00E567E9" w:rsidRDefault="00E567E9">
            <w:pPr>
              <w:spacing w:line="276" w:lineRule="auto"/>
              <w:ind w:left="126"/>
              <w:jc w:val="center"/>
              <w:rPr>
                <w:i/>
                <w:iCs/>
                <w:sz w:val="20"/>
                <w:szCs w:val="20"/>
              </w:rPr>
            </w:pPr>
            <w:r>
              <w:rPr>
                <w:i/>
                <w:iCs/>
                <w:sz w:val="20"/>
                <w:szCs w:val="20"/>
              </w:rPr>
              <w:t xml:space="preserve">The </w:t>
            </w:r>
            <w:proofErr w:type="spellStart"/>
            <w:r>
              <w:rPr>
                <w:i/>
                <w:iCs/>
                <w:sz w:val="20"/>
                <w:szCs w:val="20"/>
              </w:rPr>
              <w:t>selection</w:t>
            </w:r>
            <w:proofErr w:type="spellEnd"/>
            <w:r>
              <w:rPr>
                <w:i/>
                <w:iCs/>
                <w:sz w:val="20"/>
                <w:szCs w:val="20"/>
              </w:rPr>
              <w:t xml:space="preserve"> of the </w:t>
            </w:r>
            <w:proofErr w:type="spellStart"/>
            <w:r>
              <w:rPr>
                <w:i/>
                <w:iCs/>
                <w:sz w:val="20"/>
                <w:szCs w:val="20"/>
              </w:rPr>
              <w:t>remitted</w:t>
            </w:r>
            <w:proofErr w:type="spellEnd"/>
            <w:r>
              <w:rPr>
                <w:i/>
                <w:iCs/>
                <w:sz w:val="20"/>
                <w:szCs w:val="20"/>
              </w:rPr>
              <w:t xml:space="preserve"> </w:t>
            </w:r>
            <w:proofErr w:type="spellStart"/>
            <w:r>
              <w:rPr>
                <w:i/>
                <w:iCs/>
                <w:sz w:val="20"/>
                <w:szCs w:val="20"/>
              </w:rPr>
              <w:t>material</w:t>
            </w:r>
            <w:proofErr w:type="spellEnd"/>
            <w:r>
              <w:rPr>
                <w:i/>
                <w:iCs/>
                <w:sz w:val="20"/>
                <w:szCs w:val="20"/>
              </w:rPr>
              <w:t xml:space="preserve"> has been </w:t>
            </w:r>
            <w:proofErr w:type="spellStart"/>
            <w:r>
              <w:rPr>
                <w:i/>
                <w:iCs/>
                <w:sz w:val="20"/>
                <w:szCs w:val="20"/>
              </w:rPr>
              <w:t>prepared</w:t>
            </w:r>
            <w:proofErr w:type="spellEnd"/>
            <w:r>
              <w:rPr>
                <w:i/>
                <w:iCs/>
                <w:sz w:val="20"/>
                <w:szCs w:val="20"/>
              </w:rPr>
              <w:t xml:space="preserve"> </w:t>
            </w:r>
            <w:proofErr w:type="spellStart"/>
            <w:r>
              <w:rPr>
                <w:i/>
                <w:iCs/>
                <w:sz w:val="20"/>
                <w:szCs w:val="20"/>
              </w:rPr>
              <w:t>by</w:t>
            </w:r>
            <w:proofErr w:type="spellEnd"/>
            <w:r>
              <w:rPr>
                <w:i/>
                <w:iCs/>
                <w:sz w:val="20"/>
                <w:szCs w:val="20"/>
              </w:rPr>
              <w:t xml:space="preserve"> </w:t>
            </w:r>
            <w:proofErr w:type="spellStart"/>
            <w:r>
              <w:rPr>
                <w:i/>
                <w:iCs/>
                <w:sz w:val="20"/>
                <w:szCs w:val="20"/>
              </w:rPr>
              <w:t>Piergiorgio</w:t>
            </w:r>
            <w:proofErr w:type="spellEnd"/>
            <w:r>
              <w:rPr>
                <w:i/>
                <w:iCs/>
                <w:sz w:val="20"/>
                <w:szCs w:val="20"/>
              </w:rPr>
              <w:t xml:space="preserve"> </w:t>
            </w:r>
            <w:proofErr w:type="spellStart"/>
            <w:r>
              <w:rPr>
                <w:i/>
                <w:iCs/>
                <w:sz w:val="20"/>
                <w:szCs w:val="20"/>
              </w:rPr>
              <w:t>Valente</w:t>
            </w:r>
            <w:proofErr w:type="spellEnd"/>
            <w:r>
              <w:rPr>
                <w:i/>
                <w:iCs/>
                <w:sz w:val="20"/>
                <w:szCs w:val="20"/>
              </w:rPr>
              <w:t xml:space="preserve"> / </w:t>
            </w:r>
            <w:proofErr w:type="spellStart"/>
            <w:r>
              <w:rPr>
                <w:i/>
                <w:iCs/>
                <w:sz w:val="20"/>
                <w:szCs w:val="20"/>
              </w:rPr>
              <w:t>Filipa</w:t>
            </w:r>
            <w:proofErr w:type="spellEnd"/>
            <w:r>
              <w:rPr>
                <w:i/>
                <w:iCs/>
                <w:sz w:val="20"/>
                <w:szCs w:val="20"/>
              </w:rPr>
              <w:t xml:space="preserve"> </w:t>
            </w:r>
            <w:proofErr w:type="spellStart"/>
            <w:r>
              <w:rPr>
                <w:i/>
                <w:iCs/>
                <w:sz w:val="20"/>
                <w:szCs w:val="20"/>
              </w:rPr>
              <w:t>Correia</w:t>
            </w:r>
            <w:proofErr w:type="spellEnd"/>
            <w:r>
              <w:rPr>
                <w:i/>
                <w:iCs/>
                <w:sz w:val="20"/>
                <w:szCs w:val="20"/>
              </w:rPr>
              <w:t xml:space="preserve"> / Rudolf </w:t>
            </w:r>
            <w:proofErr w:type="spellStart"/>
            <w:r>
              <w:rPr>
                <w:i/>
                <w:iCs/>
                <w:sz w:val="20"/>
                <w:szCs w:val="20"/>
              </w:rPr>
              <w:t>Reibel</w:t>
            </w:r>
            <w:proofErr w:type="spellEnd"/>
          </w:p>
          <w:p w:rsidR="00E567E9" w:rsidRDefault="00E567E9">
            <w:pPr>
              <w:spacing w:line="276" w:lineRule="auto"/>
              <w:ind w:left="126"/>
              <w:jc w:val="center"/>
              <w:rPr>
                <w:i/>
                <w:iCs/>
                <w:sz w:val="20"/>
                <w:szCs w:val="20"/>
              </w:rPr>
            </w:pPr>
          </w:p>
          <w:p w:rsidR="00E567E9" w:rsidRDefault="00E567E9">
            <w:pPr>
              <w:spacing w:line="276" w:lineRule="auto"/>
              <w:ind w:left="126"/>
              <w:jc w:val="center"/>
              <w:rPr>
                <w:color w:val="0000FF"/>
                <w:u w:val="single"/>
                <w:lang w:eastAsia="fr-BE"/>
              </w:rPr>
            </w:pPr>
            <w:hyperlink r:id="rId15" w:history="1">
              <w:r>
                <w:rPr>
                  <w:rStyle w:val="Hyperlink"/>
                  <w:i/>
                  <w:iCs/>
                  <w:sz w:val="20"/>
                  <w:szCs w:val="20"/>
                </w:rPr>
                <w:t>www.cfe-eutax.org</w:t>
              </w:r>
            </w:hyperlink>
          </w:p>
          <w:p w:rsidR="00E567E9" w:rsidRDefault="00E567E9">
            <w:pPr>
              <w:spacing w:line="276" w:lineRule="auto"/>
              <w:ind w:left="126"/>
              <w:jc w:val="center"/>
              <w:rPr>
                <w:i/>
                <w:iCs/>
                <w:color w:val="0000FF"/>
                <w:sz w:val="20"/>
                <w:szCs w:val="20"/>
                <w:u w:val="single"/>
              </w:rPr>
            </w:pPr>
          </w:p>
          <w:p w:rsidR="00E567E9" w:rsidRDefault="00E567E9">
            <w:pPr>
              <w:spacing w:line="276" w:lineRule="auto"/>
              <w:ind w:left="126"/>
              <w:jc w:val="center"/>
              <w:rPr>
                <w:lang w:val="en-US" w:eastAsia="fr-BE"/>
              </w:rPr>
            </w:pPr>
            <w:r>
              <w:rPr>
                <w:i/>
                <w:iCs/>
                <w:sz w:val="20"/>
                <w:szCs w:val="20"/>
                <w:lang w:val="en-US"/>
              </w:rPr>
              <w:t>Follow us on</w:t>
            </w:r>
            <w:r>
              <w:rPr>
                <w:i/>
                <w:iCs/>
                <w:color w:val="FF0000"/>
                <w:sz w:val="20"/>
                <w:szCs w:val="20"/>
                <w:lang w:val="en-US"/>
              </w:rPr>
              <w:t xml:space="preserve"> </w:t>
            </w:r>
            <w:hyperlink r:id="rId16" w:history="1">
              <w:r>
                <w:rPr>
                  <w:rStyle w:val="Hyperlink"/>
                  <w:sz w:val="20"/>
                  <w:szCs w:val="20"/>
                  <w:lang w:val="en-US"/>
                </w:rPr>
                <w:t>Linked in</w:t>
              </w:r>
            </w:hyperlink>
            <w:r>
              <w:rPr>
                <w:sz w:val="20"/>
                <w:szCs w:val="20"/>
              </w:rPr>
              <w:t xml:space="preserve"> </w:t>
            </w:r>
            <w:r>
              <w:rPr>
                <w:noProof/>
                <w:sz w:val="20"/>
                <w:szCs w:val="20"/>
                <w:lang w:eastAsia="nl-NL"/>
              </w:rPr>
              <w:drawing>
                <wp:inline distT="0" distB="0" distL="0" distR="0">
                  <wp:extent cx="200025" cy="190500"/>
                  <wp:effectExtent l="0" t="0" r="9525" b="0"/>
                  <wp:docPr id="1" name="Afbeelding 1" descr="cid:image002.png@01D05A62.500B7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05A62.500B7F5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i/>
                <w:iCs/>
                <w:sz w:val="20"/>
                <w:szCs w:val="20"/>
              </w:rPr>
              <w:t> </w:t>
            </w:r>
          </w:p>
        </w:tc>
      </w:tr>
      <w:tr w:rsidR="00E567E9" w:rsidTr="00E567E9">
        <w:trPr>
          <w:trHeight w:val="20"/>
          <w:tblCellSpacing w:w="0" w:type="dxa"/>
        </w:trPr>
        <w:tc>
          <w:tcPr>
            <w:tcW w:w="9702" w:type="dxa"/>
            <w:tcBorders>
              <w:top w:val="nil"/>
              <w:left w:val="nil"/>
              <w:bottom w:val="nil"/>
              <w:right w:val="nil"/>
            </w:tcBorders>
            <w:tcMar>
              <w:top w:w="375" w:type="dxa"/>
              <w:left w:w="300" w:type="dxa"/>
              <w:bottom w:w="300" w:type="dxa"/>
              <w:right w:w="300" w:type="dxa"/>
            </w:tcMar>
            <w:vAlign w:val="center"/>
          </w:tcPr>
          <w:p w:rsidR="00E567E9" w:rsidRDefault="00E567E9">
            <w:pPr>
              <w:spacing w:line="276" w:lineRule="auto"/>
              <w:jc w:val="both"/>
              <w:rPr>
                <w:sz w:val="2"/>
                <w:szCs w:val="20"/>
                <w:lang w:val="en-US" w:eastAsia="fr-BE"/>
              </w:rPr>
            </w:pPr>
          </w:p>
        </w:tc>
      </w:tr>
    </w:tbl>
    <w:p w:rsidR="00E567E9" w:rsidRDefault="00E567E9" w:rsidP="00E567E9">
      <w:pPr>
        <w:rPr>
          <w:color w:val="1F497D"/>
          <w:lang w:val="en-GB"/>
        </w:rPr>
      </w:pPr>
    </w:p>
    <w:p w:rsidR="00667086" w:rsidRDefault="00667086">
      <w:bookmarkStart w:id="0" w:name="_GoBack"/>
      <w:bookmarkEnd w:id="0"/>
    </w:p>
    <w:sectPr w:rsidR="006670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7E9"/>
    <w:rsid w:val="00667086"/>
    <w:rsid w:val="00E567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567E9"/>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E567E9"/>
    <w:rPr>
      <w:color w:val="0000FF"/>
      <w:u w:val="single"/>
    </w:rPr>
  </w:style>
  <w:style w:type="paragraph" w:styleId="Lijstalinea">
    <w:name w:val="List Paragraph"/>
    <w:basedOn w:val="Standaard"/>
    <w:uiPriority w:val="34"/>
    <w:qFormat/>
    <w:rsid w:val="00E567E9"/>
    <w:pPr>
      <w:ind w:left="720"/>
    </w:pPr>
    <w:rPr>
      <w:lang w:eastAsia="fr-BE"/>
    </w:rPr>
  </w:style>
  <w:style w:type="paragraph" w:styleId="Ballontekst">
    <w:name w:val="Balloon Text"/>
    <w:basedOn w:val="Standaard"/>
    <w:link w:val="BallontekstChar"/>
    <w:uiPriority w:val="99"/>
    <w:semiHidden/>
    <w:unhideWhenUsed/>
    <w:rsid w:val="00E567E9"/>
    <w:rPr>
      <w:rFonts w:ascii="Tahoma" w:hAnsi="Tahoma" w:cs="Tahoma"/>
      <w:sz w:val="16"/>
      <w:szCs w:val="16"/>
    </w:rPr>
  </w:style>
  <w:style w:type="character" w:customStyle="1" w:styleId="BallontekstChar">
    <w:name w:val="Ballontekst Char"/>
    <w:basedOn w:val="Standaardalinea-lettertype"/>
    <w:link w:val="Ballontekst"/>
    <w:uiPriority w:val="99"/>
    <w:semiHidden/>
    <w:rsid w:val="00E567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567E9"/>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E567E9"/>
    <w:rPr>
      <w:color w:val="0000FF"/>
      <w:u w:val="single"/>
    </w:rPr>
  </w:style>
  <w:style w:type="paragraph" w:styleId="Lijstalinea">
    <w:name w:val="List Paragraph"/>
    <w:basedOn w:val="Standaard"/>
    <w:uiPriority w:val="34"/>
    <w:qFormat/>
    <w:rsid w:val="00E567E9"/>
    <w:pPr>
      <w:ind w:left="720"/>
    </w:pPr>
    <w:rPr>
      <w:lang w:eastAsia="fr-BE"/>
    </w:rPr>
  </w:style>
  <w:style w:type="paragraph" w:styleId="Ballontekst">
    <w:name w:val="Balloon Text"/>
    <w:basedOn w:val="Standaard"/>
    <w:link w:val="BallontekstChar"/>
    <w:uiPriority w:val="99"/>
    <w:semiHidden/>
    <w:unhideWhenUsed/>
    <w:rsid w:val="00E567E9"/>
    <w:rPr>
      <w:rFonts w:ascii="Tahoma" w:hAnsi="Tahoma" w:cs="Tahoma"/>
      <w:sz w:val="16"/>
      <w:szCs w:val="16"/>
    </w:rPr>
  </w:style>
  <w:style w:type="character" w:customStyle="1" w:styleId="BallontekstChar">
    <w:name w:val="Ballontekst Char"/>
    <w:basedOn w:val="Standaardalinea-lettertype"/>
    <w:link w:val="Ballontekst"/>
    <w:uiPriority w:val="99"/>
    <w:semiHidden/>
    <w:rsid w:val="00E567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ecd.org/tax/work-underway-for-the-development-of-the-beps-multilateral-instrument.htm" TargetMode="External"/><Relationship Id="rId13" Type="http://schemas.openxmlformats.org/officeDocument/2006/relationships/hyperlink" Target="http://europa.eu/rapid/press-release_IP-15-5043_en.htm?locale=en" TargetMode="External"/><Relationship Id="rId18" Type="http://schemas.openxmlformats.org/officeDocument/2006/relationships/image" Target="cid:image002.png@01D05A62.500B7F50" TargetMode="External"/><Relationship Id="rId3" Type="http://schemas.openxmlformats.org/officeDocument/2006/relationships/settings" Target="settings.xml"/><Relationship Id="rId7" Type="http://schemas.openxmlformats.org/officeDocument/2006/relationships/hyperlink" Target="http://europa.eu/rapid/press-release_IP-15-5044_en.htm" TargetMode="External"/><Relationship Id="rId12" Type="http://schemas.openxmlformats.org/officeDocument/2006/relationships/hyperlink" Target="http://www.oecd.org/tax/the-global-forum-releases-new-compliance-ratings-on-tax-transparency.htm" TargetMode="External"/><Relationship Id="rId17" Type="http://schemas.openxmlformats.org/officeDocument/2006/relationships/image" Target="media/image2.png"/><Relationship Id="rId2" Type="http://schemas.microsoft.com/office/2007/relationships/stylesWithEffects" Target="stylesWithEffects.xml"/><Relationship Id="rId16" Type="http://schemas.openxmlformats.org/officeDocument/2006/relationships/hyperlink" Target="http://www.linkedin.com/company/confederation-fiscal-europeene?trk=company_name"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cid:image003.jpg@01D09C60.F9A4B960" TargetMode="External"/><Relationship Id="rId11" Type="http://schemas.openxmlformats.org/officeDocument/2006/relationships/hyperlink" Target="http://www.oecd.org/tax/global-forum-on-transparency-and-exchange-of-information-for-tax-purposes-peer-reviews-czech-republic-2015-9789264233706-en.htm" TargetMode="External"/><Relationship Id="rId5" Type="http://schemas.openxmlformats.org/officeDocument/2006/relationships/image" Target="media/image1.jpeg"/><Relationship Id="rId15" Type="http://schemas.openxmlformats.org/officeDocument/2006/relationships/hyperlink" Target="http://www.cfe-eutax.org" TargetMode="External"/><Relationship Id="rId10" Type="http://schemas.openxmlformats.org/officeDocument/2006/relationships/hyperlink" Target="http://www.oecd.org/tax/transparency/GFratings.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fe-eutax.org/node/4087" TargetMode="External"/><Relationship Id="rId14" Type="http://schemas.openxmlformats.org/officeDocument/2006/relationships/hyperlink" Target="http://www.oecd.org/tax/beps-webcasts.h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778C9172</Template>
  <TotalTime>1</TotalTime>
  <Pages>2</Pages>
  <Words>831</Words>
  <Characters>4575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Nalan Baykal</dc:creator>
  <cp:lastModifiedBy>Nalan Baykal</cp:lastModifiedBy>
  <cp:revision>1</cp:revision>
  <dcterms:created xsi:type="dcterms:W3CDTF">2015-06-01T12:15:00Z</dcterms:created>
  <dcterms:modified xsi:type="dcterms:W3CDTF">2015-06-01T12:16:00Z</dcterms:modified>
</cp:coreProperties>
</file>