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C46" w:rsidRDefault="00F76C46" w:rsidP="00F76C46">
      <w:pPr>
        <w:rPr>
          <w:color w:val="1F497D"/>
          <w:lang w:val="en-GB"/>
        </w:rPr>
      </w:pPr>
    </w:p>
    <w:tbl>
      <w:tblPr>
        <w:tblW w:w="9702"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10172"/>
      </w:tblGrid>
      <w:tr w:rsidR="00F76C46" w:rsidTr="00F76C46">
        <w:trPr>
          <w:trHeight w:val="1924"/>
          <w:tblCellSpacing w:w="0" w:type="dxa"/>
        </w:trPr>
        <w:tc>
          <w:tcPr>
            <w:tcW w:w="9702" w:type="dxa"/>
            <w:tcBorders>
              <w:top w:val="nil"/>
              <w:left w:val="nil"/>
              <w:bottom w:val="nil"/>
              <w:right w:val="nil"/>
            </w:tcBorders>
            <w:tcMar>
              <w:top w:w="375" w:type="dxa"/>
              <w:left w:w="300" w:type="dxa"/>
              <w:bottom w:w="300" w:type="dxa"/>
              <w:right w:w="300" w:type="dxa"/>
            </w:tcMar>
            <w:vAlign w:val="center"/>
          </w:tcPr>
          <w:tbl>
            <w:tblPr>
              <w:tblW w:w="9100" w:type="dxa"/>
              <w:tblCellSpacing w:w="0" w:type="dxa"/>
              <w:tblCellMar>
                <w:left w:w="0" w:type="dxa"/>
                <w:right w:w="0" w:type="dxa"/>
              </w:tblCellMar>
              <w:tblLook w:val="04A0" w:firstRow="1" w:lastRow="0" w:firstColumn="1" w:lastColumn="0" w:noHBand="0" w:noVBand="1"/>
            </w:tblPr>
            <w:tblGrid>
              <w:gridCol w:w="9094"/>
              <w:gridCol w:w="6"/>
            </w:tblGrid>
            <w:tr w:rsidR="00F76C46">
              <w:trPr>
                <w:trHeight w:val="76"/>
                <w:tblCellSpacing w:w="0" w:type="dxa"/>
              </w:trPr>
              <w:tc>
                <w:tcPr>
                  <w:tcW w:w="9094" w:type="dxa"/>
                  <w:vAlign w:val="center"/>
                  <w:hideMark/>
                </w:tcPr>
                <w:p w:rsidR="00F76C46" w:rsidRDefault="00F76C46">
                  <w:pPr>
                    <w:spacing w:line="276" w:lineRule="auto"/>
                    <w:jc w:val="both"/>
                    <w:rPr>
                      <w:sz w:val="20"/>
                      <w:szCs w:val="20"/>
                    </w:rPr>
                  </w:pPr>
                  <w:r>
                    <w:rPr>
                      <w:noProof/>
                      <w:sz w:val="20"/>
                      <w:szCs w:val="20"/>
                      <w:lang w:eastAsia="nl-NL"/>
                    </w:rPr>
                    <w:drawing>
                      <wp:inline distT="0" distB="0" distL="0" distR="0">
                        <wp:extent cx="5762625" cy="666750"/>
                        <wp:effectExtent l="0" t="0" r="9525" b="0"/>
                        <wp:docPr id="2" name="Afbeelding 2" descr="cid:image001.jpg@01D08CDA.3516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08CDA.3516A4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tcPr>
                <w:p w:rsidR="00F76C46" w:rsidRDefault="00F76C46">
                  <w:pPr>
                    <w:spacing w:line="276" w:lineRule="auto"/>
                    <w:jc w:val="both"/>
                    <w:rPr>
                      <w:color w:val="ACABAB"/>
                      <w:sz w:val="20"/>
                      <w:szCs w:val="20"/>
                    </w:rPr>
                  </w:pPr>
                </w:p>
                <w:p w:rsidR="00F76C46" w:rsidRDefault="00F76C46">
                  <w:pPr>
                    <w:spacing w:line="276" w:lineRule="auto"/>
                    <w:jc w:val="both"/>
                    <w:rPr>
                      <w:color w:val="ACABAB"/>
                      <w:sz w:val="20"/>
                      <w:szCs w:val="20"/>
                    </w:rPr>
                  </w:pPr>
                </w:p>
              </w:tc>
            </w:tr>
          </w:tbl>
          <w:p w:rsidR="00F76C46" w:rsidRDefault="00F76C46">
            <w:pPr>
              <w:shd w:val="clear" w:color="auto" w:fill="FEFEFE"/>
              <w:spacing w:line="276" w:lineRule="auto"/>
              <w:ind w:right="2925"/>
              <w:jc w:val="both"/>
              <w:rPr>
                <w:b/>
                <w:bCs/>
                <w:color w:val="000000"/>
                <w:sz w:val="20"/>
                <w:szCs w:val="20"/>
                <w:lang w:val="en" w:eastAsia="fr-BE"/>
              </w:rPr>
            </w:pPr>
            <w:r>
              <w:rPr>
                <w:b/>
                <w:bCs/>
                <w:color w:val="000000"/>
                <w:sz w:val="20"/>
                <w:szCs w:val="20"/>
                <w:lang w:val="en"/>
              </w:rPr>
              <w:t xml:space="preserve">                                                                                                                                                    </w:t>
            </w:r>
          </w:p>
          <w:p w:rsidR="00F76C46" w:rsidRDefault="00F76C46">
            <w:pPr>
              <w:shd w:val="clear" w:color="auto" w:fill="FEFEFE"/>
              <w:spacing w:line="276" w:lineRule="auto"/>
              <w:ind w:left="7371"/>
              <w:jc w:val="both"/>
              <w:rPr>
                <w:b/>
                <w:bCs/>
                <w:color w:val="000000"/>
                <w:sz w:val="20"/>
                <w:szCs w:val="20"/>
                <w:lang w:val="en"/>
              </w:rPr>
            </w:pPr>
            <w:r>
              <w:rPr>
                <w:b/>
                <w:bCs/>
                <w:color w:val="000000"/>
                <w:sz w:val="20"/>
                <w:szCs w:val="20"/>
                <w:lang w:val="en"/>
              </w:rPr>
              <w:t>12 May 2015</w:t>
            </w:r>
          </w:p>
          <w:p w:rsidR="00F76C46" w:rsidRDefault="00F76C46">
            <w:pPr>
              <w:pStyle w:val="Lijstalinea"/>
              <w:spacing w:line="276" w:lineRule="auto"/>
              <w:ind w:left="1068"/>
              <w:rPr>
                <w:color w:val="C00000"/>
                <w:sz w:val="20"/>
                <w:szCs w:val="20"/>
                <w:lang w:val="fr-BE"/>
              </w:rPr>
            </w:pPr>
          </w:p>
          <w:p w:rsidR="00F76C46" w:rsidRDefault="00F76C46" w:rsidP="00CA2DFB">
            <w:pPr>
              <w:pStyle w:val="Lijstalinea"/>
              <w:numPr>
                <w:ilvl w:val="0"/>
                <w:numId w:val="1"/>
              </w:numPr>
              <w:spacing w:line="276" w:lineRule="auto"/>
              <w:rPr>
                <w:sz w:val="20"/>
                <w:szCs w:val="20"/>
              </w:rPr>
            </w:pPr>
            <w:r>
              <w:rPr>
                <w:b/>
                <w:bCs/>
                <w:sz w:val="20"/>
                <w:szCs w:val="20"/>
                <w:lang w:val="en"/>
              </w:rPr>
              <w:t>European Commission announces VAT reform proposals as part of new Digital Single Market strategy</w:t>
            </w:r>
          </w:p>
          <w:p w:rsidR="00F76C46" w:rsidRDefault="00F76C46">
            <w:pPr>
              <w:pStyle w:val="Lijstalinea"/>
              <w:spacing w:line="276" w:lineRule="auto"/>
              <w:ind w:left="426"/>
              <w:rPr>
                <w:sz w:val="20"/>
                <w:szCs w:val="20"/>
                <w:lang w:val="en"/>
              </w:rPr>
            </w:pPr>
            <w:r>
              <w:rPr>
                <w:sz w:val="20"/>
                <w:szCs w:val="20"/>
                <w:lang w:val="en"/>
              </w:rPr>
              <w:br/>
              <w:t>On 6 May 2015, the European Commission issued its Communication on a Digital Single Market, suggesting solutions to a number of current hindrances to cross-border delivery of goods ordered and services received on-line. The Commission identifies the administrative burden of VAT compliance and distortions of competition through VAT rules as major obstacles and announces that it will propose a number of VAT changes in 2016. These will include:</w:t>
            </w:r>
          </w:p>
          <w:p w:rsidR="00F76C46" w:rsidRDefault="00F76C46" w:rsidP="00CA2DFB">
            <w:pPr>
              <w:pStyle w:val="Lijstalinea"/>
              <w:numPr>
                <w:ilvl w:val="0"/>
                <w:numId w:val="2"/>
              </w:numPr>
              <w:spacing w:line="276" w:lineRule="auto"/>
              <w:rPr>
                <w:sz w:val="20"/>
                <w:szCs w:val="20"/>
                <w:lang w:val="en"/>
              </w:rPr>
            </w:pPr>
            <w:r>
              <w:rPr>
                <w:sz w:val="20"/>
                <w:szCs w:val="20"/>
                <w:lang w:val="en"/>
              </w:rPr>
              <w:t>extending the single electronic registration and payment mechanism introduced in 2015 for e-services (Mini-one-stop-shop) to intra-EU and 3rd country online sales of tangible goods,</w:t>
            </w:r>
          </w:p>
          <w:p w:rsidR="00F76C46" w:rsidRDefault="00F76C46" w:rsidP="00CA2DFB">
            <w:pPr>
              <w:pStyle w:val="Lijstalinea"/>
              <w:numPr>
                <w:ilvl w:val="0"/>
                <w:numId w:val="2"/>
              </w:numPr>
              <w:spacing w:line="276" w:lineRule="auto"/>
              <w:rPr>
                <w:sz w:val="20"/>
                <w:szCs w:val="20"/>
                <w:lang w:val="en"/>
              </w:rPr>
            </w:pPr>
            <w:r>
              <w:rPr>
                <w:sz w:val="20"/>
                <w:szCs w:val="20"/>
                <w:lang w:val="en"/>
              </w:rPr>
              <w:t>introducing a common EU-wide VAT threshold to help small start-up e-commerce businesses,</w:t>
            </w:r>
          </w:p>
          <w:p w:rsidR="00F76C46" w:rsidRDefault="00F76C46" w:rsidP="00CA2DFB">
            <w:pPr>
              <w:pStyle w:val="Lijstalinea"/>
              <w:numPr>
                <w:ilvl w:val="0"/>
                <w:numId w:val="2"/>
              </w:numPr>
              <w:spacing w:line="276" w:lineRule="auto"/>
              <w:rPr>
                <w:sz w:val="20"/>
                <w:szCs w:val="20"/>
                <w:lang w:val="en"/>
              </w:rPr>
            </w:pPr>
            <w:r>
              <w:rPr>
                <w:sz w:val="20"/>
                <w:szCs w:val="20"/>
                <w:lang w:val="en"/>
              </w:rPr>
              <w:t>allowing for home country controls including a single VAT audit of cross-border businesses and</w:t>
            </w:r>
          </w:p>
          <w:p w:rsidR="00F76C46" w:rsidRDefault="00F76C46" w:rsidP="00CA2DFB">
            <w:pPr>
              <w:pStyle w:val="Lijstalinea"/>
              <w:numPr>
                <w:ilvl w:val="0"/>
                <w:numId w:val="2"/>
              </w:numPr>
              <w:spacing w:line="276" w:lineRule="auto"/>
              <w:rPr>
                <w:sz w:val="20"/>
                <w:szCs w:val="20"/>
                <w:lang w:val="en"/>
              </w:rPr>
            </w:pPr>
            <w:r>
              <w:rPr>
                <w:sz w:val="20"/>
                <w:szCs w:val="20"/>
                <w:lang w:val="en"/>
              </w:rPr>
              <w:t>removing the VAT exemption for the importation of small consignments from suppliers in third countries.</w:t>
            </w:r>
          </w:p>
          <w:p w:rsidR="00F76C46" w:rsidRDefault="00F76C46">
            <w:pPr>
              <w:pStyle w:val="Lijstalinea"/>
              <w:spacing w:line="276" w:lineRule="auto"/>
              <w:rPr>
                <w:sz w:val="20"/>
                <w:szCs w:val="20"/>
                <w:lang w:val="en"/>
              </w:rPr>
            </w:pPr>
          </w:p>
          <w:p w:rsidR="00F76C46" w:rsidRDefault="00F76C46" w:rsidP="00CA2DFB">
            <w:pPr>
              <w:pStyle w:val="Lijstalinea"/>
              <w:numPr>
                <w:ilvl w:val="0"/>
                <w:numId w:val="3"/>
              </w:numPr>
              <w:spacing w:line="276" w:lineRule="auto"/>
              <w:rPr>
                <w:sz w:val="20"/>
                <w:szCs w:val="20"/>
              </w:rPr>
            </w:pPr>
            <w:r>
              <w:rPr>
                <w:sz w:val="20"/>
                <w:szCs w:val="20"/>
              </w:rPr>
              <w:t xml:space="preserve">Communication COM(2015)192: A Digital Single Market </w:t>
            </w:r>
            <w:proofErr w:type="spellStart"/>
            <w:r>
              <w:rPr>
                <w:sz w:val="20"/>
                <w:szCs w:val="20"/>
              </w:rPr>
              <w:t>Strategy</w:t>
            </w:r>
            <w:proofErr w:type="spellEnd"/>
            <w:r>
              <w:rPr>
                <w:sz w:val="20"/>
                <w:szCs w:val="20"/>
              </w:rPr>
              <w:t xml:space="preserve"> </w:t>
            </w:r>
            <w:proofErr w:type="spellStart"/>
            <w:r>
              <w:rPr>
                <w:sz w:val="20"/>
                <w:szCs w:val="20"/>
              </w:rPr>
              <w:t>for</w:t>
            </w:r>
            <w:proofErr w:type="spellEnd"/>
            <w:r>
              <w:rPr>
                <w:sz w:val="20"/>
                <w:szCs w:val="20"/>
              </w:rPr>
              <w:t xml:space="preserve"> Europe, 6 May 2015: </w:t>
            </w:r>
            <w:hyperlink r:id="rId8" w:history="1">
              <w:r>
                <w:rPr>
                  <w:rStyle w:val="Hyperlink"/>
                  <w:sz w:val="20"/>
                  <w:szCs w:val="20"/>
                </w:rPr>
                <w:t>EN/DE/FR</w:t>
              </w:r>
            </w:hyperlink>
          </w:p>
          <w:p w:rsidR="00F76C46" w:rsidRDefault="00F76C46" w:rsidP="00CA2DFB">
            <w:pPr>
              <w:pStyle w:val="Lijstalinea"/>
              <w:numPr>
                <w:ilvl w:val="0"/>
                <w:numId w:val="3"/>
              </w:numPr>
              <w:spacing w:line="276" w:lineRule="auto"/>
              <w:rPr>
                <w:sz w:val="20"/>
                <w:szCs w:val="20"/>
              </w:rPr>
            </w:pPr>
            <w:proofErr w:type="spellStart"/>
            <w:r>
              <w:rPr>
                <w:sz w:val="20"/>
                <w:szCs w:val="20"/>
              </w:rPr>
              <w:t>Accompanying</w:t>
            </w:r>
            <w:proofErr w:type="spellEnd"/>
            <w:r>
              <w:rPr>
                <w:sz w:val="20"/>
                <w:szCs w:val="20"/>
              </w:rPr>
              <w:t xml:space="preserve"> </w:t>
            </w:r>
            <w:proofErr w:type="spellStart"/>
            <w:r>
              <w:rPr>
                <w:sz w:val="20"/>
                <w:szCs w:val="20"/>
              </w:rPr>
              <w:t>Commission</w:t>
            </w:r>
            <w:proofErr w:type="spellEnd"/>
            <w:r>
              <w:rPr>
                <w:sz w:val="20"/>
                <w:szCs w:val="20"/>
              </w:rPr>
              <w:t xml:space="preserve"> </w:t>
            </w:r>
            <w:proofErr w:type="spellStart"/>
            <w:r>
              <w:rPr>
                <w:sz w:val="20"/>
                <w:szCs w:val="20"/>
              </w:rPr>
              <w:t>staff</w:t>
            </w:r>
            <w:proofErr w:type="spellEnd"/>
            <w:r>
              <w:rPr>
                <w:sz w:val="20"/>
                <w:szCs w:val="20"/>
              </w:rPr>
              <w:t xml:space="preserve"> </w:t>
            </w:r>
            <w:proofErr w:type="spellStart"/>
            <w:r>
              <w:rPr>
                <w:sz w:val="20"/>
                <w:szCs w:val="20"/>
              </w:rPr>
              <w:t>working</w:t>
            </w:r>
            <w:proofErr w:type="spellEnd"/>
            <w:r>
              <w:rPr>
                <w:sz w:val="20"/>
                <w:szCs w:val="20"/>
              </w:rPr>
              <w:t xml:space="preserve"> document SWD(2015)100: Analysis </w:t>
            </w:r>
            <w:proofErr w:type="spellStart"/>
            <w:r>
              <w:rPr>
                <w:sz w:val="20"/>
                <w:szCs w:val="20"/>
              </w:rPr>
              <w:t>and</w:t>
            </w:r>
            <w:proofErr w:type="spellEnd"/>
            <w:r>
              <w:rPr>
                <w:sz w:val="20"/>
                <w:szCs w:val="20"/>
              </w:rPr>
              <w:t xml:space="preserve"> </w:t>
            </w:r>
            <w:proofErr w:type="spellStart"/>
            <w:r>
              <w:rPr>
                <w:sz w:val="20"/>
                <w:szCs w:val="20"/>
              </w:rPr>
              <w:t>evidence</w:t>
            </w:r>
            <w:proofErr w:type="spellEnd"/>
            <w:r>
              <w:rPr>
                <w:sz w:val="20"/>
                <w:szCs w:val="20"/>
              </w:rPr>
              <w:t xml:space="preserve">, 6 May 2015: </w:t>
            </w:r>
            <w:hyperlink r:id="rId9" w:history="1">
              <w:r>
                <w:rPr>
                  <w:rStyle w:val="Hyperlink"/>
                  <w:sz w:val="20"/>
                  <w:szCs w:val="20"/>
                </w:rPr>
                <w:t>EN</w:t>
              </w:r>
            </w:hyperlink>
          </w:p>
          <w:p w:rsidR="00F76C46" w:rsidRDefault="00F76C46" w:rsidP="00CA2DFB">
            <w:pPr>
              <w:pStyle w:val="Lijstalinea"/>
              <w:numPr>
                <w:ilvl w:val="0"/>
                <w:numId w:val="3"/>
              </w:numPr>
              <w:spacing w:line="276" w:lineRule="auto"/>
              <w:rPr>
                <w:sz w:val="20"/>
                <w:szCs w:val="20"/>
              </w:rPr>
            </w:pPr>
            <w:proofErr w:type="spellStart"/>
            <w:r>
              <w:rPr>
                <w:sz w:val="20"/>
                <w:szCs w:val="20"/>
              </w:rPr>
              <w:t>Questions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answers</w:t>
            </w:r>
            <w:proofErr w:type="spellEnd"/>
            <w:r>
              <w:rPr>
                <w:sz w:val="20"/>
                <w:szCs w:val="20"/>
              </w:rPr>
              <w:t xml:space="preserve"> : The Digital Single Market (European </w:t>
            </w:r>
            <w:proofErr w:type="spellStart"/>
            <w:r>
              <w:rPr>
                <w:sz w:val="20"/>
                <w:szCs w:val="20"/>
              </w:rPr>
              <w:t>Commission</w:t>
            </w:r>
            <w:proofErr w:type="spellEnd"/>
            <w:r>
              <w:rPr>
                <w:sz w:val="20"/>
                <w:szCs w:val="20"/>
              </w:rPr>
              <w:t xml:space="preserve"> website) : </w:t>
            </w:r>
            <w:hyperlink r:id="rId10" w:history="1">
              <w:r>
                <w:rPr>
                  <w:rStyle w:val="Hyperlink"/>
                  <w:sz w:val="20"/>
                  <w:szCs w:val="20"/>
                </w:rPr>
                <w:t>EN</w:t>
              </w:r>
            </w:hyperlink>
          </w:p>
          <w:p w:rsidR="00F76C46" w:rsidRDefault="00F76C46">
            <w:pPr>
              <w:pStyle w:val="Lijstalinea"/>
              <w:spacing w:line="276" w:lineRule="auto"/>
              <w:ind w:left="1068"/>
              <w:rPr>
                <w:sz w:val="20"/>
                <w:szCs w:val="20"/>
              </w:rPr>
            </w:pPr>
          </w:p>
          <w:p w:rsidR="00F76C46" w:rsidRDefault="00F76C46" w:rsidP="00CA2DFB">
            <w:pPr>
              <w:pStyle w:val="Lijstalinea"/>
              <w:numPr>
                <w:ilvl w:val="0"/>
                <w:numId w:val="1"/>
              </w:numPr>
              <w:spacing w:line="276" w:lineRule="auto"/>
              <w:rPr>
                <w:b/>
                <w:bCs/>
                <w:sz w:val="20"/>
                <w:szCs w:val="20"/>
              </w:rPr>
            </w:pPr>
            <w:proofErr w:type="spellStart"/>
            <w:r>
              <w:rPr>
                <w:b/>
                <w:bCs/>
                <w:sz w:val="20"/>
                <w:szCs w:val="20"/>
              </w:rPr>
              <w:t>MEPs</w:t>
            </w:r>
            <w:proofErr w:type="spellEnd"/>
            <w:r>
              <w:rPr>
                <w:b/>
                <w:bCs/>
                <w:sz w:val="20"/>
                <w:szCs w:val="20"/>
              </w:rPr>
              <w:t xml:space="preserve"> </w:t>
            </w:r>
            <w:proofErr w:type="spellStart"/>
            <w:r>
              <w:rPr>
                <w:b/>
                <w:bCs/>
                <w:sz w:val="20"/>
                <w:szCs w:val="20"/>
              </w:rPr>
              <w:t>vote</w:t>
            </w:r>
            <w:proofErr w:type="spellEnd"/>
            <w:r>
              <w:rPr>
                <w:b/>
                <w:bCs/>
                <w:sz w:val="20"/>
                <w:szCs w:val="20"/>
              </w:rPr>
              <w:t xml:space="preserve"> in </w:t>
            </w:r>
            <w:proofErr w:type="spellStart"/>
            <w:r>
              <w:rPr>
                <w:b/>
                <w:bCs/>
                <w:sz w:val="20"/>
                <w:szCs w:val="20"/>
              </w:rPr>
              <w:t>favour</w:t>
            </w:r>
            <w:proofErr w:type="spellEnd"/>
            <w:r>
              <w:rPr>
                <w:b/>
                <w:bCs/>
                <w:sz w:val="20"/>
                <w:szCs w:val="20"/>
              </w:rPr>
              <w:t xml:space="preserve"> of country-</w:t>
            </w:r>
            <w:proofErr w:type="spellStart"/>
            <w:r>
              <w:rPr>
                <w:b/>
                <w:bCs/>
                <w:sz w:val="20"/>
                <w:szCs w:val="20"/>
              </w:rPr>
              <w:t>by</w:t>
            </w:r>
            <w:proofErr w:type="spellEnd"/>
            <w:r>
              <w:rPr>
                <w:b/>
                <w:bCs/>
                <w:sz w:val="20"/>
                <w:szCs w:val="20"/>
              </w:rPr>
              <w:t xml:space="preserve">-country </w:t>
            </w:r>
            <w:proofErr w:type="spellStart"/>
            <w:r>
              <w:rPr>
                <w:b/>
                <w:bCs/>
                <w:sz w:val="20"/>
                <w:szCs w:val="20"/>
              </w:rPr>
              <w:t>reporting</w:t>
            </w:r>
            <w:proofErr w:type="spellEnd"/>
            <w:r>
              <w:rPr>
                <w:b/>
                <w:bCs/>
                <w:sz w:val="20"/>
                <w:szCs w:val="20"/>
              </w:rPr>
              <w:t xml:space="preserve"> of information on tax </w:t>
            </w:r>
            <w:proofErr w:type="spellStart"/>
            <w:r>
              <w:rPr>
                <w:b/>
                <w:bCs/>
                <w:sz w:val="20"/>
                <w:szCs w:val="20"/>
              </w:rPr>
              <w:t>payments</w:t>
            </w:r>
            <w:proofErr w:type="spellEnd"/>
            <w:r>
              <w:rPr>
                <w:b/>
                <w:bCs/>
                <w:sz w:val="20"/>
                <w:szCs w:val="20"/>
              </w:rPr>
              <w:t xml:space="preserve"> </w:t>
            </w:r>
            <w:proofErr w:type="spellStart"/>
            <w:r>
              <w:rPr>
                <w:b/>
                <w:bCs/>
                <w:sz w:val="20"/>
                <w:szCs w:val="20"/>
              </w:rPr>
              <w:t>and</w:t>
            </w:r>
            <w:proofErr w:type="spellEnd"/>
            <w:r>
              <w:rPr>
                <w:b/>
                <w:bCs/>
                <w:sz w:val="20"/>
                <w:szCs w:val="20"/>
              </w:rPr>
              <w:t xml:space="preserve"> tax </w:t>
            </w:r>
            <w:proofErr w:type="spellStart"/>
            <w:r>
              <w:rPr>
                <w:b/>
                <w:bCs/>
                <w:sz w:val="20"/>
                <w:szCs w:val="20"/>
              </w:rPr>
              <w:t>rulings</w:t>
            </w:r>
            <w:proofErr w:type="spellEnd"/>
          </w:p>
          <w:p w:rsidR="00F76C46" w:rsidRDefault="00F76C46">
            <w:pPr>
              <w:pStyle w:val="Lijstalinea"/>
              <w:spacing w:line="276" w:lineRule="auto"/>
              <w:rPr>
                <w:sz w:val="20"/>
                <w:szCs w:val="20"/>
              </w:rPr>
            </w:pPr>
          </w:p>
          <w:p w:rsidR="00F76C46" w:rsidRDefault="00F76C46">
            <w:pPr>
              <w:pStyle w:val="Lijstalinea"/>
              <w:spacing w:line="276" w:lineRule="auto"/>
              <w:ind w:left="426"/>
              <w:rPr>
                <w:sz w:val="20"/>
                <w:szCs w:val="20"/>
              </w:rPr>
            </w:pPr>
            <w:r>
              <w:rPr>
                <w:sz w:val="20"/>
                <w:szCs w:val="20"/>
              </w:rPr>
              <w:t xml:space="preserve">On 7 May 2015, the European </w:t>
            </w:r>
            <w:proofErr w:type="spellStart"/>
            <w:r>
              <w:rPr>
                <w:sz w:val="20"/>
                <w:szCs w:val="20"/>
              </w:rPr>
              <w:t>Parliament´s</w:t>
            </w:r>
            <w:proofErr w:type="spellEnd"/>
            <w:r>
              <w:rPr>
                <w:sz w:val="20"/>
                <w:szCs w:val="20"/>
              </w:rPr>
              <w:t xml:space="preserve"> Legal </w:t>
            </w:r>
            <w:proofErr w:type="spellStart"/>
            <w:r>
              <w:rPr>
                <w:sz w:val="20"/>
                <w:szCs w:val="20"/>
              </w:rPr>
              <w:t>Affairs</w:t>
            </w:r>
            <w:proofErr w:type="spellEnd"/>
            <w:r>
              <w:rPr>
                <w:sz w:val="20"/>
                <w:szCs w:val="20"/>
              </w:rPr>
              <w:t xml:space="preserve"> (JURI) </w:t>
            </w:r>
            <w:proofErr w:type="spellStart"/>
            <w:r>
              <w:rPr>
                <w:sz w:val="20"/>
                <w:szCs w:val="20"/>
              </w:rPr>
              <w:t>Committee</w:t>
            </w:r>
            <w:proofErr w:type="spellEnd"/>
            <w:r>
              <w:rPr>
                <w:sz w:val="20"/>
                <w:szCs w:val="20"/>
              </w:rPr>
              <w:t xml:space="preserve"> </w:t>
            </w:r>
            <w:proofErr w:type="spellStart"/>
            <w:r>
              <w:rPr>
                <w:sz w:val="20"/>
                <w:szCs w:val="20"/>
              </w:rPr>
              <w:t>voted</w:t>
            </w:r>
            <w:proofErr w:type="spellEnd"/>
            <w:r>
              <w:rPr>
                <w:sz w:val="20"/>
                <w:szCs w:val="20"/>
              </w:rPr>
              <w:t xml:space="preserve"> in </w:t>
            </w:r>
            <w:proofErr w:type="spellStart"/>
            <w:r>
              <w:rPr>
                <w:sz w:val="20"/>
                <w:szCs w:val="20"/>
              </w:rPr>
              <w:t>favour</w:t>
            </w:r>
            <w:proofErr w:type="spellEnd"/>
            <w:r>
              <w:rPr>
                <w:sz w:val="20"/>
                <w:szCs w:val="20"/>
              </w:rPr>
              <w:t xml:space="preserve"> of </w:t>
            </w:r>
            <w:proofErr w:type="spellStart"/>
            <w:r>
              <w:rPr>
                <w:sz w:val="20"/>
                <w:szCs w:val="20"/>
              </w:rPr>
              <w:t>an</w:t>
            </w:r>
            <w:proofErr w:type="spellEnd"/>
            <w:r>
              <w:rPr>
                <w:sz w:val="20"/>
                <w:szCs w:val="20"/>
              </w:rPr>
              <w:t xml:space="preserve"> </w:t>
            </w:r>
            <w:proofErr w:type="spellStart"/>
            <w:r>
              <w:rPr>
                <w:sz w:val="20"/>
                <w:szCs w:val="20"/>
              </w:rPr>
              <w:t>obligation</w:t>
            </w:r>
            <w:proofErr w:type="spellEnd"/>
            <w:r>
              <w:rPr>
                <w:sz w:val="20"/>
                <w:szCs w:val="20"/>
              </w:rPr>
              <w:t xml:space="preserve"> on large </w:t>
            </w:r>
            <w:proofErr w:type="spellStart"/>
            <w:r>
              <w:rPr>
                <w:sz w:val="20"/>
                <w:szCs w:val="20"/>
              </w:rPr>
              <w:t>undertakings</w:t>
            </w:r>
            <w:proofErr w:type="spellEnd"/>
            <w:r>
              <w:rPr>
                <w:sz w:val="20"/>
                <w:szCs w:val="20"/>
              </w:rPr>
              <w:t xml:space="preserve"> </w:t>
            </w:r>
            <w:proofErr w:type="spellStart"/>
            <w:r>
              <w:rPr>
                <w:sz w:val="20"/>
                <w:szCs w:val="20"/>
              </w:rPr>
              <w:t>and</w:t>
            </w:r>
            <w:proofErr w:type="spellEnd"/>
            <w:r>
              <w:rPr>
                <w:sz w:val="20"/>
                <w:szCs w:val="20"/>
              </w:rPr>
              <w:t xml:space="preserve"> public-interest </w:t>
            </w:r>
            <w:proofErr w:type="spellStart"/>
            <w:r>
              <w:rPr>
                <w:sz w:val="20"/>
                <w:szCs w:val="20"/>
              </w:rPr>
              <w:t>entities</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publish</w:t>
            </w:r>
            <w:proofErr w:type="spellEnd"/>
            <w:r>
              <w:rPr>
                <w:sz w:val="20"/>
                <w:szCs w:val="20"/>
              </w:rPr>
              <w:t xml:space="preserve"> information, country-</w:t>
            </w:r>
            <w:proofErr w:type="spellStart"/>
            <w:r>
              <w:rPr>
                <w:sz w:val="20"/>
                <w:szCs w:val="20"/>
              </w:rPr>
              <w:t>by</w:t>
            </w:r>
            <w:proofErr w:type="spellEnd"/>
            <w:r>
              <w:rPr>
                <w:sz w:val="20"/>
                <w:szCs w:val="20"/>
              </w:rPr>
              <w:t xml:space="preserve">-country, on </w:t>
            </w:r>
            <w:proofErr w:type="spellStart"/>
            <w:r>
              <w:rPr>
                <w:sz w:val="20"/>
                <w:szCs w:val="20"/>
              </w:rPr>
              <w:t>profit</w:t>
            </w:r>
            <w:proofErr w:type="spellEnd"/>
            <w:r>
              <w:rPr>
                <w:sz w:val="20"/>
                <w:szCs w:val="20"/>
              </w:rPr>
              <w:t xml:space="preserve"> or </w:t>
            </w:r>
            <w:proofErr w:type="spellStart"/>
            <w:r>
              <w:rPr>
                <w:sz w:val="20"/>
                <w:szCs w:val="20"/>
              </w:rPr>
              <w:t>loss</w:t>
            </w:r>
            <w:proofErr w:type="spellEnd"/>
            <w:r>
              <w:rPr>
                <w:sz w:val="20"/>
                <w:szCs w:val="20"/>
              </w:rPr>
              <w:t xml:space="preserve"> </w:t>
            </w:r>
            <w:proofErr w:type="spellStart"/>
            <w:r>
              <w:rPr>
                <w:sz w:val="20"/>
                <w:szCs w:val="20"/>
              </w:rPr>
              <w:t>before</w:t>
            </w:r>
            <w:proofErr w:type="spellEnd"/>
            <w:r>
              <w:rPr>
                <w:sz w:val="20"/>
                <w:szCs w:val="20"/>
              </w:rPr>
              <w:t xml:space="preserve"> tax, </w:t>
            </w:r>
            <w:proofErr w:type="spellStart"/>
            <w:r>
              <w:rPr>
                <w:sz w:val="20"/>
                <w:szCs w:val="20"/>
              </w:rPr>
              <w:t>taxes</w:t>
            </w:r>
            <w:proofErr w:type="spellEnd"/>
            <w:r>
              <w:rPr>
                <w:sz w:val="20"/>
                <w:szCs w:val="20"/>
              </w:rPr>
              <w:t xml:space="preserve"> on </w:t>
            </w:r>
            <w:proofErr w:type="spellStart"/>
            <w:r>
              <w:rPr>
                <w:sz w:val="20"/>
                <w:szCs w:val="20"/>
              </w:rPr>
              <w:t>profit</w:t>
            </w:r>
            <w:proofErr w:type="spellEnd"/>
            <w:r>
              <w:rPr>
                <w:sz w:val="20"/>
                <w:szCs w:val="20"/>
              </w:rPr>
              <w:t xml:space="preserve"> or </w:t>
            </w:r>
            <w:proofErr w:type="spellStart"/>
            <w:r>
              <w:rPr>
                <w:sz w:val="20"/>
                <w:szCs w:val="20"/>
              </w:rPr>
              <w:t>loss</w:t>
            </w:r>
            <w:proofErr w:type="spellEnd"/>
            <w:r>
              <w:rPr>
                <w:sz w:val="20"/>
                <w:szCs w:val="20"/>
              </w:rPr>
              <w:t xml:space="preserve">, </w:t>
            </w:r>
            <w:proofErr w:type="spellStart"/>
            <w:r>
              <w:rPr>
                <w:sz w:val="20"/>
                <w:szCs w:val="20"/>
              </w:rPr>
              <w:t>and</w:t>
            </w:r>
            <w:proofErr w:type="spellEnd"/>
            <w:r>
              <w:rPr>
                <w:sz w:val="20"/>
                <w:szCs w:val="20"/>
              </w:rPr>
              <w:t xml:space="preserve"> public subsidies </w:t>
            </w:r>
            <w:proofErr w:type="spellStart"/>
            <w:r>
              <w:rPr>
                <w:sz w:val="20"/>
                <w:szCs w:val="20"/>
              </w:rPr>
              <w:t>received</w:t>
            </w:r>
            <w:proofErr w:type="spellEnd"/>
            <w:r>
              <w:rPr>
                <w:sz w:val="20"/>
                <w:szCs w:val="20"/>
              </w:rPr>
              <w:t xml:space="preserve">. Companies </w:t>
            </w:r>
            <w:proofErr w:type="spellStart"/>
            <w:r>
              <w:rPr>
                <w:sz w:val="20"/>
                <w:szCs w:val="20"/>
              </w:rPr>
              <w:t>with</w:t>
            </w:r>
            <w:proofErr w:type="spellEnd"/>
            <w:r>
              <w:rPr>
                <w:sz w:val="20"/>
                <w:szCs w:val="20"/>
              </w:rPr>
              <w:t xml:space="preserve"> more </w:t>
            </w:r>
            <w:proofErr w:type="spellStart"/>
            <w:r>
              <w:rPr>
                <w:sz w:val="20"/>
                <w:szCs w:val="20"/>
              </w:rPr>
              <w:t>than</w:t>
            </w:r>
            <w:proofErr w:type="spellEnd"/>
            <w:r>
              <w:rPr>
                <w:sz w:val="20"/>
                <w:szCs w:val="20"/>
              </w:rPr>
              <w:t xml:space="preserve"> 500 employees </w:t>
            </w:r>
            <w:proofErr w:type="spellStart"/>
            <w:r>
              <w:rPr>
                <w:sz w:val="20"/>
                <w:szCs w:val="20"/>
              </w:rPr>
              <w:t>and</w:t>
            </w:r>
            <w:proofErr w:type="spellEnd"/>
            <w:r>
              <w:rPr>
                <w:sz w:val="20"/>
                <w:szCs w:val="20"/>
              </w:rPr>
              <w:t xml:space="preserve"> a </w:t>
            </w:r>
            <w:proofErr w:type="spellStart"/>
            <w:r>
              <w:rPr>
                <w:sz w:val="20"/>
                <w:szCs w:val="20"/>
              </w:rPr>
              <w:t>balance</w:t>
            </w:r>
            <w:proofErr w:type="spellEnd"/>
            <w:r>
              <w:rPr>
                <w:sz w:val="20"/>
                <w:szCs w:val="20"/>
              </w:rPr>
              <w:t xml:space="preserve"> sheet </w:t>
            </w:r>
            <w:proofErr w:type="spellStart"/>
            <w:r>
              <w:rPr>
                <w:sz w:val="20"/>
                <w:szCs w:val="20"/>
              </w:rPr>
              <w:t>total</w:t>
            </w:r>
            <w:proofErr w:type="spellEnd"/>
            <w:r>
              <w:rPr>
                <w:sz w:val="20"/>
                <w:szCs w:val="20"/>
              </w:rPr>
              <w:t xml:space="preserve"> of €86 </w:t>
            </w:r>
            <w:proofErr w:type="spellStart"/>
            <w:r>
              <w:rPr>
                <w:sz w:val="20"/>
                <w:szCs w:val="20"/>
              </w:rPr>
              <w:t>million</w:t>
            </w:r>
            <w:proofErr w:type="spellEnd"/>
            <w:r>
              <w:rPr>
                <w:sz w:val="20"/>
                <w:szCs w:val="20"/>
              </w:rPr>
              <w:t xml:space="preserve"> or a net turnover of €100 </w:t>
            </w:r>
            <w:proofErr w:type="spellStart"/>
            <w:r>
              <w:rPr>
                <w:sz w:val="20"/>
                <w:szCs w:val="20"/>
              </w:rPr>
              <w:t>million</w:t>
            </w:r>
            <w:proofErr w:type="spellEnd"/>
            <w:r>
              <w:rPr>
                <w:sz w:val="20"/>
                <w:szCs w:val="20"/>
              </w:rPr>
              <w:t xml:space="preserve"> </w:t>
            </w:r>
            <w:proofErr w:type="spellStart"/>
            <w:r>
              <w:rPr>
                <w:sz w:val="20"/>
                <w:szCs w:val="20"/>
              </w:rPr>
              <w:t>should</w:t>
            </w:r>
            <w:proofErr w:type="spellEnd"/>
            <w:r>
              <w:rPr>
                <w:sz w:val="20"/>
                <w:szCs w:val="20"/>
              </w:rPr>
              <w:t xml:space="preserve"> </w:t>
            </w:r>
            <w:proofErr w:type="spellStart"/>
            <w:r>
              <w:rPr>
                <w:sz w:val="20"/>
                <w:szCs w:val="20"/>
              </w:rPr>
              <w:t>also</w:t>
            </w:r>
            <w:proofErr w:type="spellEnd"/>
            <w:r>
              <w:rPr>
                <w:sz w:val="20"/>
                <w:szCs w:val="20"/>
              </w:rPr>
              <w:t xml:space="preserve"> </w:t>
            </w:r>
            <w:proofErr w:type="spellStart"/>
            <w:r>
              <w:rPr>
                <w:sz w:val="20"/>
                <w:szCs w:val="20"/>
              </w:rPr>
              <w:t>disclose</w:t>
            </w:r>
            <w:proofErr w:type="spellEnd"/>
            <w:r>
              <w:rPr>
                <w:sz w:val="20"/>
                <w:szCs w:val="20"/>
              </w:rPr>
              <w:t xml:space="preserve"> information on tax </w:t>
            </w:r>
            <w:proofErr w:type="spellStart"/>
            <w:r>
              <w:rPr>
                <w:sz w:val="20"/>
                <w:szCs w:val="20"/>
              </w:rPr>
              <w:t>rulings</w:t>
            </w:r>
            <w:proofErr w:type="spellEnd"/>
            <w:r>
              <w:rPr>
                <w:sz w:val="20"/>
                <w:szCs w:val="20"/>
              </w:rPr>
              <w:t>.</w:t>
            </w:r>
          </w:p>
          <w:p w:rsidR="00F76C46" w:rsidRDefault="00F76C46">
            <w:pPr>
              <w:pStyle w:val="Lijstalinea"/>
              <w:spacing w:line="276" w:lineRule="auto"/>
              <w:ind w:left="426"/>
              <w:rPr>
                <w:sz w:val="20"/>
                <w:szCs w:val="20"/>
              </w:rPr>
            </w:pPr>
            <w:proofErr w:type="spellStart"/>
            <w:r>
              <w:rPr>
                <w:sz w:val="20"/>
                <w:szCs w:val="20"/>
              </w:rPr>
              <w:t>Such</w:t>
            </w:r>
            <w:proofErr w:type="spellEnd"/>
            <w:r>
              <w:rPr>
                <w:sz w:val="20"/>
                <w:szCs w:val="20"/>
              </w:rPr>
              <w:t xml:space="preserve"> </w:t>
            </w:r>
            <w:proofErr w:type="spellStart"/>
            <w:r>
              <w:rPr>
                <w:sz w:val="20"/>
                <w:szCs w:val="20"/>
              </w:rPr>
              <w:t>requirements</w:t>
            </w:r>
            <w:proofErr w:type="spellEnd"/>
            <w:r>
              <w:rPr>
                <w:sz w:val="20"/>
                <w:szCs w:val="20"/>
              </w:rPr>
              <w:t xml:space="preserve"> had </w:t>
            </w:r>
            <w:proofErr w:type="spellStart"/>
            <w:r>
              <w:rPr>
                <w:sz w:val="20"/>
                <w:szCs w:val="20"/>
              </w:rPr>
              <w:t>not</w:t>
            </w:r>
            <w:proofErr w:type="spellEnd"/>
            <w:r>
              <w:rPr>
                <w:sz w:val="20"/>
                <w:szCs w:val="20"/>
              </w:rPr>
              <w:t xml:space="preserve"> been </w:t>
            </w:r>
            <w:proofErr w:type="spellStart"/>
            <w:r>
              <w:rPr>
                <w:sz w:val="20"/>
                <w:szCs w:val="20"/>
              </w:rPr>
              <w:t>included</w:t>
            </w:r>
            <w:proofErr w:type="spellEnd"/>
            <w:r>
              <w:rPr>
                <w:sz w:val="20"/>
                <w:szCs w:val="20"/>
              </w:rPr>
              <w:t xml:space="preserve"> in the European </w:t>
            </w:r>
            <w:proofErr w:type="spellStart"/>
            <w:r>
              <w:rPr>
                <w:sz w:val="20"/>
                <w:szCs w:val="20"/>
              </w:rPr>
              <w:t>Commission´s</w:t>
            </w:r>
            <w:proofErr w:type="spellEnd"/>
            <w:r>
              <w:rPr>
                <w:sz w:val="20"/>
                <w:szCs w:val="20"/>
              </w:rPr>
              <w:t xml:space="preserve"> </w:t>
            </w:r>
            <w:proofErr w:type="spellStart"/>
            <w:r>
              <w:rPr>
                <w:sz w:val="20"/>
                <w:szCs w:val="20"/>
              </w:rPr>
              <w:t>initial</w:t>
            </w:r>
            <w:proofErr w:type="spellEnd"/>
            <w:r>
              <w:rPr>
                <w:sz w:val="20"/>
                <w:szCs w:val="20"/>
              </w:rPr>
              <w:t xml:space="preserve"> </w:t>
            </w:r>
            <w:proofErr w:type="spellStart"/>
            <w:r>
              <w:rPr>
                <w:sz w:val="20"/>
                <w:szCs w:val="20"/>
              </w:rPr>
              <w:t>proposal</w:t>
            </w:r>
            <w:proofErr w:type="spellEnd"/>
            <w:r>
              <w:rPr>
                <w:sz w:val="20"/>
                <w:szCs w:val="20"/>
              </w:rPr>
              <w:t xml:space="preserve"> of 2014 </w:t>
            </w:r>
            <w:proofErr w:type="spellStart"/>
            <w:r>
              <w:rPr>
                <w:sz w:val="20"/>
                <w:szCs w:val="20"/>
              </w:rPr>
              <w:t>to</w:t>
            </w:r>
            <w:proofErr w:type="spellEnd"/>
            <w:r>
              <w:rPr>
                <w:sz w:val="20"/>
                <w:szCs w:val="20"/>
              </w:rPr>
              <w:t xml:space="preserve"> </w:t>
            </w:r>
            <w:proofErr w:type="spellStart"/>
            <w:r>
              <w:rPr>
                <w:sz w:val="20"/>
                <w:szCs w:val="20"/>
              </w:rPr>
              <w:t>amend</w:t>
            </w:r>
            <w:proofErr w:type="spellEnd"/>
            <w:r>
              <w:rPr>
                <w:sz w:val="20"/>
                <w:szCs w:val="20"/>
              </w:rPr>
              <w:t xml:space="preserve"> the Directive on the </w:t>
            </w:r>
            <w:proofErr w:type="spellStart"/>
            <w:r>
              <w:rPr>
                <w:sz w:val="20"/>
                <w:szCs w:val="20"/>
              </w:rPr>
              <w:t>exercise</w:t>
            </w:r>
            <w:proofErr w:type="spellEnd"/>
            <w:r>
              <w:rPr>
                <w:sz w:val="20"/>
                <w:szCs w:val="20"/>
              </w:rPr>
              <w:t xml:space="preserve"> of </w:t>
            </w:r>
            <w:proofErr w:type="spellStart"/>
            <w:r>
              <w:rPr>
                <w:sz w:val="20"/>
                <w:szCs w:val="20"/>
              </w:rPr>
              <w:t>certain</w:t>
            </w:r>
            <w:proofErr w:type="spellEnd"/>
            <w:r>
              <w:rPr>
                <w:sz w:val="20"/>
                <w:szCs w:val="20"/>
              </w:rPr>
              <w:t xml:space="preserve"> </w:t>
            </w:r>
            <w:proofErr w:type="spellStart"/>
            <w:r>
              <w:rPr>
                <w:sz w:val="20"/>
                <w:szCs w:val="20"/>
              </w:rPr>
              <w:t>rights</w:t>
            </w:r>
            <w:proofErr w:type="spellEnd"/>
            <w:r>
              <w:rPr>
                <w:sz w:val="20"/>
                <w:szCs w:val="20"/>
              </w:rPr>
              <w:t xml:space="preserve"> of </w:t>
            </w:r>
            <w:proofErr w:type="spellStart"/>
            <w:r>
              <w:rPr>
                <w:sz w:val="20"/>
                <w:szCs w:val="20"/>
              </w:rPr>
              <w:t>shareholders</w:t>
            </w:r>
            <w:proofErr w:type="spellEnd"/>
            <w:r>
              <w:rPr>
                <w:sz w:val="20"/>
                <w:szCs w:val="20"/>
              </w:rPr>
              <w:t xml:space="preserve"> in </w:t>
            </w:r>
            <w:proofErr w:type="spellStart"/>
            <w:r>
              <w:rPr>
                <w:sz w:val="20"/>
                <w:szCs w:val="20"/>
              </w:rPr>
              <w:t>listed</w:t>
            </w:r>
            <w:proofErr w:type="spellEnd"/>
            <w:r>
              <w:rPr>
                <w:sz w:val="20"/>
                <w:szCs w:val="20"/>
              </w:rPr>
              <w:t xml:space="preserve"> companies, but </w:t>
            </w:r>
            <w:proofErr w:type="spellStart"/>
            <w:r>
              <w:rPr>
                <w:sz w:val="20"/>
                <w:szCs w:val="20"/>
              </w:rPr>
              <w:t>were</w:t>
            </w:r>
            <w:proofErr w:type="spellEnd"/>
            <w:r>
              <w:rPr>
                <w:sz w:val="20"/>
                <w:szCs w:val="20"/>
              </w:rPr>
              <w:t xml:space="preserve"> </w:t>
            </w:r>
            <w:proofErr w:type="spellStart"/>
            <w:r>
              <w:rPr>
                <w:sz w:val="20"/>
                <w:szCs w:val="20"/>
              </w:rPr>
              <w:t>introduced</w:t>
            </w:r>
            <w:proofErr w:type="spellEnd"/>
            <w:r>
              <w:rPr>
                <w:sz w:val="20"/>
                <w:szCs w:val="20"/>
              </w:rPr>
              <w:t xml:space="preserve"> </w:t>
            </w:r>
            <w:proofErr w:type="spellStart"/>
            <w:r>
              <w:rPr>
                <w:sz w:val="20"/>
                <w:szCs w:val="20"/>
              </w:rPr>
              <w:t>by</w:t>
            </w:r>
            <w:proofErr w:type="spellEnd"/>
            <w:r>
              <w:rPr>
                <w:sz w:val="20"/>
                <w:szCs w:val="20"/>
              </w:rPr>
              <w:t xml:space="preserve"> members of the EP </w:t>
            </w:r>
            <w:proofErr w:type="spellStart"/>
            <w:r>
              <w:rPr>
                <w:sz w:val="20"/>
                <w:szCs w:val="20"/>
              </w:rPr>
              <w:t>earlier</w:t>
            </w:r>
            <w:proofErr w:type="spellEnd"/>
            <w:r>
              <w:rPr>
                <w:sz w:val="20"/>
                <w:szCs w:val="20"/>
              </w:rPr>
              <w:t xml:space="preserve"> </w:t>
            </w:r>
            <w:proofErr w:type="spellStart"/>
            <w:r>
              <w:rPr>
                <w:sz w:val="20"/>
                <w:szCs w:val="20"/>
              </w:rPr>
              <w:t>this</w:t>
            </w:r>
            <w:proofErr w:type="spellEnd"/>
            <w:r>
              <w:rPr>
                <w:sz w:val="20"/>
                <w:szCs w:val="20"/>
              </w:rPr>
              <w:t xml:space="preserve"> </w:t>
            </w:r>
            <w:proofErr w:type="spellStart"/>
            <w:r>
              <w:rPr>
                <w:sz w:val="20"/>
                <w:szCs w:val="20"/>
              </w:rPr>
              <w:t>year</w:t>
            </w:r>
            <w:proofErr w:type="spellEnd"/>
            <w:r>
              <w:rPr>
                <w:sz w:val="20"/>
                <w:szCs w:val="20"/>
              </w:rPr>
              <w:t xml:space="preserve">. Indeed the </w:t>
            </w:r>
            <w:proofErr w:type="spellStart"/>
            <w:r>
              <w:rPr>
                <w:sz w:val="20"/>
                <w:szCs w:val="20"/>
              </w:rPr>
              <w:t>result</w:t>
            </w:r>
            <w:proofErr w:type="spellEnd"/>
            <w:r>
              <w:rPr>
                <w:sz w:val="20"/>
                <w:szCs w:val="20"/>
              </w:rPr>
              <w:t xml:space="preserve"> of JURI </w:t>
            </w:r>
            <w:proofErr w:type="spellStart"/>
            <w:r>
              <w:rPr>
                <w:sz w:val="20"/>
                <w:szCs w:val="20"/>
              </w:rPr>
              <w:t>vote</w:t>
            </w:r>
            <w:proofErr w:type="spellEnd"/>
            <w:r>
              <w:rPr>
                <w:sz w:val="20"/>
                <w:szCs w:val="20"/>
              </w:rPr>
              <w:t xml:space="preserve"> is </w:t>
            </w:r>
            <w:proofErr w:type="spellStart"/>
            <w:r>
              <w:rPr>
                <w:sz w:val="20"/>
                <w:szCs w:val="20"/>
              </w:rPr>
              <w:t>contrary</w:t>
            </w:r>
            <w:proofErr w:type="spellEnd"/>
            <w:r>
              <w:rPr>
                <w:sz w:val="20"/>
                <w:szCs w:val="20"/>
              </w:rPr>
              <w:t xml:space="preserve"> </w:t>
            </w:r>
            <w:proofErr w:type="spellStart"/>
            <w:r>
              <w:rPr>
                <w:sz w:val="20"/>
                <w:szCs w:val="20"/>
              </w:rPr>
              <w:t>to</w:t>
            </w:r>
            <w:proofErr w:type="spellEnd"/>
            <w:r>
              <w:rPr>
                <w:sz w:val="20"/>
                <w:szCs w:val="20"/>
              </w:rPr>
              <w:t xml:space="preserve"> the European </w:t>
            </w:r>
            <w:proofErr w:type="spellStart"/>
            <w:r>
              <w:rPr>
                <w:sz w:val="20"/>
                <w:szCs w:val="20"/>
              </w:rPr>
              <w:t>Commission´s</w:t>
            </w:r>
            <w:proofErr w:type="spellEnd"/>
            <w:r>
              <w:rPr>
                <w:sz w:val="20"/>
                <w:szCs w:val="20"/>
              </w:rPr>
              <w:t xml:space="preserve"> </w:t>
            </w:r>
            <w:proofErr w:type="spellStart"/>
            <w:r>
              <w:rPr>
                <w:sz w:val="20"/>
                <w:szCs w:val="20"/>
              </w:rPr>
              <w:t>announcement</w:t>
            </w:r>
            <w:proofErr w:type="spellEnd"/>
            <w:r>
              <w:rPr>
                <w:sz w:val="20"/>
                <w:szCs w:val="20"/>
              </w:rPr>
              <w:t xml:space="preserve"> in </w:t>
            </w:r>
            <w:proofErr w:type="spellStart"/>
            <w:r>
              <w:rPr>
                <w:sz w:val="20"/>
                <w:szCs w:val="20"/>
              </w:rPr>
              <w:t>its</w:t>
            </w:r>
            <w:proofErr w:type="spellEnd"/>
            <w:r>
              <w:rPr>
                <w:sz w:val="20"/>
                <w:szCs w:val="20"/>
              </w:rPr>
              <w:t xml:space="preserve"> “Tax </w:t>
            </w:r>
            <w:proofErr w:type="spellStart"/>
            <w:r>
              <w:rPr>
                <w:sz w:val="20"/>
                <w:szCs w:val="20"/>
              </w:rPr>
              <w:t>Transparency</w:t>
            </w:r>
            <w:proofErr w:type="spellEnd"/>
            <w:r>
              <w:rPr>
                <w:sz w:val="20"/>
                <w:szCs w:val="20"/>
              </w:rPr>
              <w:t xml:space="preserve"> Package” of 18 </w:t>
            </w:r>
            <w:proofErr w:type="spellStart"/>
            <w:r>
              <w:rPr>
                <w:sz w:val="20"/>
                <w:szCs w:val="20"/>
              </w:rPr>
              <w:t>March</w:t>
            </w:r>
            <w:proofErr w:type="spellEnd"/>
            <w:r>
              <w:rPr>
                <w:sz w:val="20"/>
                <w:szCs w:val="20"/>
              </w:rPr>
              <w:t xml:space="preserve"> 2015 </w:t>
            </w:r>
            <w:proofErr w:type="spellStart"/>
            <w:r>
              <w:rPr>
                <w:sz w:val="20"/>
                <w:szCs w:val="20"/>
              </w:rPr>
              <w:t>that</w:t>
            </w:r>
            <w:proofErr w:type="spellEnd"/>
            <w:r>
              <w:rPr>
                <w:sz w:val="20"/>
                <w:szCs w:val="20"/>
              </w:rPr>
              <w:t xml:space="preserve"> </w:t>
            </w:r>
            <w:proofErr w:type="spellStart"/>
            <w:r>
              <w:rPr>
                <w:sz w:val="20"/>
                <w:szCs w:val="20"/>
              </w:rPr>
              <w:t>introducing</w:t>
            </w:r>
            <w:proofErr w:type="spellEnd"/>
            <w:r>
              <w:rPr>
                <w:sz w:val="20"/>
                <w:szCs w:val="20"/>
              </w:rPr>
              <w:t xml:space="preserve"> </w:t>
            </w:r>
            <w:proofErr w:type="spellStart"/>
            <w:r>
              <w:rPr>
                <w:sz w:val="20"/>
                <w:szCs w:val="20"/>
              </w:rPr>
              <w:t>obligatory</w:t>
            </w:r>
            <w:proofErr w:type="spellEnd"/>
            <w:r>
              <w:rPr>
                <w:sz w:val="20"/>
                <w:szCs w:val="20"/>
              </w:rPr>
              <w:t xml:space="preserve"> country-</w:t>
            </w:r>
            <w:proofErr w:type="spellStart"/>
            <w:r>
              <w:rPr>
                <w:sz w:val="20"/>
                <w:szCs w:val="20"/>
              </w:rPr>
              <w:t>by</w:t>
            </w:r>
            <w:proofErr w:type="spellEnd"/>
            <w:r>
              <w:rPr>
                <w:sz w:val="20"/>
                <w:szCs w:val="20"/>
              </w:rPr>
              <w:t xml:space="preserve">-country </w:t>
            </w:r>
            <w:proofErr w:type="spellStart"/>
            <w:r>
              <w:rPr>
                <w:sz w:val="20"/>
                <w:szCs w:val="20"/>
              </w:rPr>
              <w:t>reporting</w:t>
            </w:r>
            <w:proofErr w:type="spellEnd"/>
            <w:r>
              <w:rPr>
                <w:sz w:val="20"/>
                <w:szCs w:val="20"/>
              </w:rPr>
              <w:t xml:space="preserve"> of tax information </w:t>
            </w:r>
            <w:proofErr w:type="spellStart"/>
            <w:r>
              <w:rPr>
                <w:sz w:val="20"/>
                <w:szCs w:val="20"/>
              </w:rPr>
              <w:t>should</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preceded</w:t>
            </w:r>
            <w:proofErr w:type="spellEnd"/>
            <w:r>
              <w:rPr>
                <w:sz w:val="20"/>
                <w:szCs w:val="20"/>
              </w:rPr>
              <w:t xml:space="preserve"> </w:t>
            </w:r>
            <w:proofErr w:type="spellStart"/>
            <w:r>
              <w:rPr>
                <w:sz w:val="20"/>
                <w:szCs w:val="20"/>
              </w:rPr>
              <w:t>by</w:t>
            </w:r>
            <w:proofErr w:type="spellEnd"/>
            <w:r>
              <w:rPr>
                <w:sz w:val="20"/>
                <w:szCs w:val="20"/>
              </w:rPr>
              <w:t xml:space="preserve"> a </w:t>
            </w:r>
            <w:proofErr w:type="spellStart"/>
            <w:r>
              <w:rPr>
                <w:sz w:val="20"/>
                <w:szCs w:val="20"/>
              </w:rPr>
              <w:t>careful</w:t>
            </w:r>
            <w:proofErr w:type="spellEnd"/>
            <w:r>
              <w:rPr>
                <w:sz w:val="20"/>
                <w:szCs w:val="20"/>
              </w:rPr>
              <w:t xml:space="preserve"> impact assessment.</w:t>
            </w:r>
          </w:p>
          <w:p w:rsidR="00F76C46" w:rsidRDefault="00F76C46">
            <w:pPr>
              <w:pStyle w:val="Lijstalinea"/>
              <w:spacing w:line="276" w:lineRule="auto"/>
              <w:ind w:left="426"/>
              <w:rPr>
                <w:sz w:val="20"/>
                <w:szCs w:val="20"/>
              </w:rPr>
            </w:pPr>
            <w:proofErr w:type="spellStart"/>
            <w:r>
              <w:rPr>
                <w:sz w:val="20"/>
                <w:szCs w:val="20"/>
              </w:rPr>
              <w:t>Negotiations</w:t>
            </w:r>
            <w:proofErr w:type="spellEnd"/>
            <w:r>
              <w:rPr>
                <w:sz w:val="20"/>
                <w:szCs w:val="20"/>
              </w:rPr>
              <w:t xml:space="preserve"> </w:t>
            </w:r>
            <w:proofErr w:type="spellStart"/>
            <w:r>
              <w:rPr>
                <w:sz w:val="20"/>
                <w:szCs w:val="20"/>
              </w:rPr>
              <w:t>will</w:t>
            </w:r>
            <w:proofErr w:type="spellEnd"/>
            <w:r>
              <w:rPr>
                <w:sz w:val="20"/>
                <w:szCs w:val="20"/>
              </w:rPr>
              <w:t xml:space="preserve"> start </w:t>
            </w:r>
            <w:proofErr w:type="spellStart"/>
            <w:r>
              <w:rPr>
                <w:sz w:val="20"/>
                <w:szCs w:val="20"/>
              </w:rPr>
              <w:t>between</w:t>
            </w:r>
            <w:proofErr w:type="spellEnd"/>
            <w:r>
              <w:rPr>
                <w:sz w:val="20"/>
                <w:szCs w:val="20"/>
              </w:rPr>
              <w:t xml:space="preserve"> members of the JURI </w:t>
            </w:r>
            <w:proofErr w:type="spellStart"/>
            <w:r>
              <w:rPr>
                <w:sz w:val="20"/>
                <w:szCs w:val="20"/>
              </w:rPr>
              <w:t>Committee</w:t>
            </w:r>
            <w:proofErr w:type="spellEnd"/>
            <w:r>
              <w:rPr>
                <w:sz w:val="20"/>
                <w:szCs w:val="20"/>
              </w:rPr>
              <w:t xml:space="preserve"> </w:t>
            </w:r>
            <w:proofErr w:type="spellStart"/>
            <w:r>
              <w:rPr>
                <w:sz w:val="20"/>
                <w:szCs w:val="20"/>
              </w:rPr>
              <w:t>with</w:t>
            </w:r>
            <w:proofErr w:type="spellEnd"/>
            <w:r>
              <w:rPr>
                <w:sz w:val="20"/>
                <w:szCs w:val="20"/>
              </w:rPr>
              <w:t xml:space="preserve"> the EU Council </w:t>
            </w:r>
            <w:proofErr w:type="spellStart"/>
            <w:r>
              <w:rPr>
                <w:sz w:val="20"/>
                <w:szCs w:val="20"/>
              </w:rPr>
              <w:t>with</w:t>
            </w:r>
            <w:proofErr w:type="spellEnd"/>
            <w:r>
              <w:rPr>
                <w:sz w:val="20"/>
                <w:szCs w:val="20"/>
              </w:rPr>
              <w:t xml:space="preserve"> a view </w:t>
            </w:r>
            <w:proofErr w:type="spellStart"/>
            <w:r>
              <w:rPr>
                <w:sz w:val="20"/>
                <w:szCs w:val="20"/>
              </w:rPr>
              <w:t>to</w:t>
            </w:r>
            <w:proofErr w:type="spellEnd"/>
            <w:r>
              <w:rPr>
                <w:sz w:val="20"/>
                <w:szCs w:val="20"/>
              </w:rPr>
              <w:t xml:space="preserve"> </w:t>
            </w:r>
            <w:proofErr w:type="spellStart"/>
            <w:r>
              <w:rPr>
                <w:sz w:val="20"/>
                <w:szCs w:val="20"/>
              </w:rPr>
              <w:t>reaching</w:t>
            </w:r>
            <w:proofErr w:type="spellEnd"/>
            <w:r>
              <w:rPr>
                <w:sz w:val="20"/>
                <w:szCs w:val="20"/>
              </w:rPr>
              <w:t xml:space="preserve"> a </w:t>
            </w:r>
            <w:proofErr w:type="spellStart"/>
            <w:r>
              <w:rPr>
                <w:sz w:val="20"/>
                <w:szCs w:val="20"/>
              </w:rPr>
              <w:t>compromise</w:t>
            </w:r>
            <w:proofErr w:type="spellEnd"/>
            <w:r>
              <w:rPr>
                <w:sz w:val="20"/>
                <w:szCs w:val="20"/>
              </w:rPr>
              <w:t xml:space="preserve"> at first reading. These </w:t>
            </w:r>
            <w:proofErr w:type="spellStart"/>
            <w:r>
              <w:rPr>
                <w:sz w:val="20"/>
                <w:szCs w:val="20"/>
              </w:rPr>
              <w:t>discussions</w:t>
            </w:r>
            <w:proofErr w:type="spellEnd"/>
            <w:r>
              <w:rPr>
                <w:sz w:val="20"/>
                <w:szCs w:val="20"/>
              </w:rPr>
              <w:t xml:space="preserve">  </w:t>
            </w:r>
            <w:proofErr w:type="spellStart"/>
            <w:r>
              <w:rPr>
                <w:sz w:val="20"/>
                <w:szCs w:val="20"/>
              </w:rPr>
              <w:t>will</w:t>
            </w:r>
            <w:proofErr w:type="spellEnd"/>
            <w:r>
              <w:rPr>
                <w:sz w:val="20"/>
                <w:szCs w:val="20"/>
              </w:rPr>
              <w:t xml:space="preserve"> </w:t>
            </w:r>
            <w:proofErr w:type="spellStart"/>
            <w:r>
              <w:rPr>
                <w:sz w:val="20"/>
                <w:szCs w:val="20"/>
              </w:rPr>
              <w:t>not</w:t>
            </w:r>
            <w:proofErr w:type="spellEnd"/>
            <w:r>
              <w:rPr>
                <w:sz w:val="20"/>
                <w:szCs w:val="20"/>
              </w:rPr>
              <w:t xml:space="preserve"> </w:t>
            </w:r>
            <w:proofErr w:type="spellStart"/>
            <w:r>
              <w:rPr>
                <w:sz w:val="20"/>
                <w:szCs w:val="20"/>
              </w:rPr>
              <w:t>be</w:t>
            </w:r>
            <w:proofErr w:type="spellEnd"/>
            <w:r>
              <w:rPr>
                <w:sz w:val="20"/>
                <w:szCs w:val="20"/>
              </w:rPr>
              <w:t xml:space="preserve"> public.</w:t>
            </w:r>
          </w:p>
          <w:p w:rsidR="00F76C46" w:rsidRDefault="00F76C46">
            <w:pPr>
              <w:pStyle w:val="Lijstalinea"/>
              <w:spacing w:line="276" w:lineRule="auto"/>
              <w:ind w:left="426"/>
              <w:rPr>
                <w:sz w:val="20"/>
                <w:szCs w:val="20"/>
              </w:rPr>
            </w:pPr>
            <w:r>
              <w:rPr>
                <w:sz w:val="20"/>
                <w:szCs w:val="20"/>
              </w:rPr>
              <w:t xml:space="preserve">The </w:t>
            </w:r>
            <w:proofErr w:type="spellStart"/>
            <w:r>
              <w:rPr>
                <w:sz w:val="20"/>
                <w:szCs w:val="20"/>
              </w:rPr>
              <w:t>voted</w:t>
            </w:r>
            <w:proofErr w:type="spellEnd"/>
            <w:r>
              <w:rPr>
                <w:sz w:val="20"/>
                <w:szCs w:val="20"/>
              </w:rPr>
              <w:t xml:space="preserve"> </w:t>
            </w:r>
            <w:proofErr w:type="spellStart"/>
            <w:r>
              <w:rPr>
                <w:sz w:val="20"/>
                <w:szCs w:val="20"/>
              </w:rPr>
              <w:t>text</w:t>
            </w:r>
            <w:proofErr w:type="spellEnd"/>
            <w:r>
              <w:rPr>
                <w:sz w:val="20"/>
                <w:szCs w:val="20"/>
              </w:rPr>
              <w:t xml:space="preserve"> is </w:t>
            </w:r>
            <w:proofErr w:type="spellStart"/>
            <w:r>
              <w:rPr>
                <w:sz w:val="20"/>
                <w:szCs w:val="20"/>
              </w:rPr>
              <w:t>not</w:t>
            </w:r>
            <w:proofErr w:type="spellEnd"/>
            <w:r>
              <w:rPr>
                <w:sz w:val="20"/>
                <w:szCs w:val="20"/>
              </w:rPr>
              <w:t xml:space="preserve"> </w:t>
            </w:r>
            <w:proofErr w:type="spellStart"/>
            <w:r>
              <w:rPr>
                <w:sz w:val="20"/>
                <w:szCs w:val="20"/>
              </w:rPr>
              <w:t>yet</w:t>
            </w:r>
            <w:proofErr w:type="spellEnd"/>
            <w:r>
              <w:rPr>
                <w:sz w:val="20"/>
                <w:szCs w:val="20"/>
              </w:rPr>
              <w:t xml:space="preserve"> </w:t>
            </w:r>
            <w:proofErr w:type="spellStart"/>
            <w:r>
              <w:rPr>
                <w:sz w:val="20"/>
                <w:szCs w:val="20"/>
              </w:rPr>
              <w:t>available</w:t>
            </w:r>
            <w:proofErr w:type="spellEnd"/>
            <w:r>
              <w:rPr>
                <w:sz w:val="20"/>
                <w:szCs w:val="20"/>
              </w:rPr>
              <w:t>.</w:t>
            </w:r>
          </w:p>
          <w:p w:rsidR="00F76C46" w:rsidRDefault="00F76C46">
            <w:pPr>
              <w:pStyle w:val="Lijstalinea"/>
              <w:spacing w:line="276" w:lineRule="auto"/>
              <w:rPr>
                <w:sz w:val="20"/>
                <w:szCs w:val="20"/>
              </w:rPr>
            </w:pPr>
          </w:p>
          <w:p w:rsidR="00F76C46" w:rsidRDefault="00F76C46" w:rsidP="00CA2DFB">
            <w:pPr>
              <w:pStyle w:val="Lijstalinea"/>
              <w:numPr>
                <w:ilvl w:val="0"/>
                <w:numId w:val="3"/>
              </w:numPr>
              <w:spacing w:line="276" w:lineRule="auto"/>
              <w:rPr>
                <w:sz w:val="20"/>
                <w:szCs w:val="20"/>
              </w:rPr>
            </w:pPr>
            <w:r>
              <w:rPr>
                <w:sz w:val="20"/>
                <w:szCs w:val="20"/>
              </w:rPr>
              <w:t xml:space="preserve">Press release: </w:t>
            </w:r>
            <w:hyperlink r:id="rId11" w:history="1">
              <w:r>
                <w:rPr>
                  <w:rStyle w:val="Hyperlink"/>
                  <w:sz w:val="20"/>
                  <w:szCs w:val="20"/>
                </w:rPr>
                <w:t>EN</w:t>
              </w:r>
            </w:hyperlink>
            <w:r>
              <w:rPr>
                <w:sz w:val="20"/>
                <w:szCs w:val="20"/>
              </w:rPr>
              <w:t xml:space="preserve"> / </w:t>
            </w:r>
            <w:hyperlink r:id="rId12" w:history="1">
              <w:r>
                <w:rPr>
                  <w:rStyle w:val="Hyperlink"/>
                  <w:sz w:val="20"/>
                  <w:szCs w:val="20"/>
                </w:rPr>
                <w:t>FR</w:t>
              </w:r>
            </w:hyperlink>
          </w:p>
          <w:p w:rsidR="00F76C46" w:rsidRDefault="00F76C46" w:rsidP="00CA2DFB">
            <w:pPr>
              <w:pStyle w:val="Lijstalinea"/>
              <w:numPr>
                <w:ilvl w:val="0"/>
                <w:numId w:val="3"/>
              </w:numPr>
              <w:spacing w:line="276" w:lineRule="auto"/>
              <w:rPr>
                <w:sz w:val="20"/>
                <w:szCs w:val="20"/>
              </w:rPr>
            </w:pPr>
            <w:proofErr w:type="spellStart"/>
            <w:r>
              <w:rPr>
                <w:sz w:val="20"/>
                <w:szCs w:val="20"/>
              </w:rPr>
              <w:t>Euractive</w:t>
            </w:r>
            <w:proofErr w:type="spellEnd"/>
            <w:r>
              <w:rPr>
                <w:sz w:val="20"/>
                <w:szCs w:val="20"/>
              </w:rPr>
              <w:t xml:space="preserve"> </w:t>
            </w:r>
            <w:proofErr w:type="spellStart"/>
            <w:r>
              <w:rPr>
                <w:sz w:val="20"/>
                <w:szCs w:val="20"/>
              </w:rPr>
              <w:t>article</w:t>
            </w:r>
            <w:proofErr w:type="spellEnd"/>
            <w:r>
              <w:rPr>
                <w:sz w:val="20"/>
                <w:szCs w:val="20"/>
              </w:rPr>
              <w:t xml:space="preserve">, 8 May 2015: </w:t>
            </w:r>
            <w:hyperlink r:id="rId13" w:history="1">
              <w:r>
                <w:rPr>
                  <w:rStyle w:val="Hyperlink"/>
                  <w:sz w:val="20"/>
                  <w:szCs w:val="20"/>
                </w:rPr>
                <w:t>EN</w:t>
              </w:r>
            </w:hyperlink>
          </w:p>
          <w:p w:rsidR="00F76C46" w:rsidRDefault="00F76C46">
            <w:pPr>
              <w:spacing w:line="276" w:lineRule="auto"/>
              <w:rPr>
                <w:sz w:val="20"/>
                <w:szCs w:val="20"/>
              </w:rPr>
            </w:pPr>
          </w:p>
          <w:p w:rsidR="00F76C46" w:rsidRDefault="00F76C46" w:rsidP="00CA2DFB">
            <w:pPr>
              <w:pStyle w:val="Lijstalinea"/>
              <w:numPr>
                <w:ilvl w:val="0"/>
                <w:numId w:val="1"/>
              </w:numPr>
              <w:spacing w:line="276" w:lineRule="auto"/>
              <w:rPr>
                <w:b/>
                <w:bCs/>
                <w:sz w:val="20"/>
                <w:szCs w:val="20"/>
              </w:rPr>
            </w:pPr>
            <w:r>
              <w:rPr>
                <w:b/>
                <w:bCs/>
                <w:sz w:val="20"/>
                <w:szCs w:val="20"/>
              </w:rPr>
              <w:lastRenderedPageBreak/>
              <w:t xml:space="preserve">Juncker </w:t>
            </w:r>
            <w:proofErr w:type="spellStart"/>
            <w:r>
              <w:rPr>
                <w:b/>
                <w:bCs/>
                <w:sz w:val="20"/>
                <w:szCs w:val="20"/>
              </w:rPr>
              <w:t>announces</w:t>
            </w:r>
            <w:proofErr w:type="spellEnd"/>
            <w:r>
              <w:rPr>
                <w:b/>
                <w:bCs/>
                <w:sz w:val="20"/>
                <w:szCs w:val="20"/>
              </w:rPr>
              <w:t xml:space="preserve"> </w:t>
            </w:r>
            <w:proofErr w:type="spellStart"/>
            <w:r>
              <w:rPr>
                <w:b/>
                <w:bCs/>
                <w:sz w:val="20"/>
                <w:szCs w:val="20"/>
              </w:rPr>
              <w:t>proposal</w:t>
            </w:r>
            <w:proofErr w:type="spellEnd"/>
            <w:r>
              <w:rPr>
                <w:b/>
                <w:bCs/>
                <w:sz w:val="20"/>
                <w:szCs w:val="20"/>
              </w:rPr>
              <w:t xml:space="preserve"> </w:t>
            </w:r>
            <w:proofErr w:type="spellStart"/>
            <w:r>
              <w:rPr>
                <w:b/>
                <w:bCs/>
                <w:sz w:val="20"/>
                <w:szCs w:val="20"/>
              </w:rPr>
              <w:t>for</w:t>
            </w:r>
            <w:proofErr w:type="spellEnd"/>
            <w:r>
              <w:rPr>
                <w:b/>
                <w:bCs/>
                <w:sz w:val="20"/>
                <w:szCs w:val="20"/>
              </w:rPr>
              <w:t xml:space="preserve"> </w:t>
            </w:r>
            <w:proofErr w:type="spellStart"/>
            <w:r>
              <w:rPr>
                <w:b/>
                <w:bCs/>
                <w:sz w:val="20"/>
                <w:szCs w:val="20"/>
              </w:rPr>
              <w:t>reduced</w:t>
            </w:r>
            <w:proofErr w:type="spellEnd"/>
            <w:r>
              <w:rPr>
                <w:b/>
                <w:bCs/>
                <w:sz w:val="20"/>
                <w:szCs w:val="20"/>
              </w:rPr>
              <w:t xml:space="preserve"> VAT </w:t>
            </w:r>
            <w:proofErr w:type="spellStart"/>
            <w:r>
              <w:rPr>
                <w:b/>
                <w:bCs/>
                <w:sz w:val="20"/>
                <w:szCs w:val="20"/>
              </w:rPr>
              <w:t>for</w:t>
            </w:r>
            <w:proofErr w:type="spellEnd"/>
            <w:r>
              <w:rPr>
                <w:b/>
                <w:bCs/>
                <w:sz w:val="20"/>
                <w:szCs w:val="20"/>
              </w:rPr>
              <w:t xml:space="preserve"> </w:t>
            </w:r>
            <w:proofErr w:type="spellStart"/>
            <w:r>
              <w:rPr>
                <w:b/>
                <w:bCs/>
                <w:sz w:val="20"/>
                <w:szCs w:val="20"/>
              </w:rPr>
              <w:t>on-line</w:t>
            </w:r>
            <w:proofErr w:type="spellEnd"/>
            <w:r>
              <w:rPr>
                <w:b/>
                <w:bCs/>
                <w:sz w:val="20"/>
                <w:szCs w:val="20"/>
              </w:rPr>
              <w:t xml:space="preserve"> content</w:t>
            </w:r>
          </w:p>
          <w:p w:rsidR="00F76C46" w:rsidRDefault="00F76C46">
            <w:pPr>
              <w:pStyle w:val="Lijstalinea"/>
              <w:spacing w:line="276" w:lineRule="auto"/>
              <w:rPr>
                <w:sz w:val="20"/>
                <w:szCs w:val="20"/>
              </w:rPr>
            </w:pPr>
          </w:p>
          <w:p w:rsidR="00F76C46" w:rsidRDefault="00F76C46">
            <w:pPr>
              <w:pStyle w:val="Lijstalinea"/>
              <w:spacing w:line="276" w:lineRule="auto"/>
              <w:ind w:left="426"/>
              <w:rPr>
                <w:sz w:val="20"/>
                <w:szCs w:val="20"/>
              </w:rPr>
            </w:pPr>
            <w:r>
              <w:rPr>
                <w:sz w:val="20"/>
                <w:szCs w:val="20"/>
              </w:rPr>
              <w:t xml:space="preserve">In a speech </w:t>
            </w:r>
            <w:proofErr w:type="spellStart"/>
            <w:r>
              <w:rPr>
                <w:sz w:val="20"/>
                <w:szCs w:val="20"/>
              </w:rPr>
              <w:t>delivered</w:t>
            </w:r>
            <w:proofErr w:type="spellEnd"/>
            <w:r>
              <w:rPr>
                <w:sz w:val="20"/>
                <w:szCs w:val="20"/>
              </w:rPr>
              <w:t xml:space="preserve"> on 6 May 2015 at </w:t>
            </w:r>
            <w:proofErr w:type="spellStart"/>
            <w:r>
              <w:rPr>
                <w:sz w:val="20"/>
                <w:szCs w:val="20"/>
              </w:rPr>
              <w:t>an</w:t>
            </w:r>
            <w:proofErr w:type="spellEnd"/>
            <w:r>
              <w:rPr>
                <w:sz w:val="20"/>
                <w:szCs w:val="20"/>
              </w:rPr>
              <w:t xml:space="preserve"> event of the </w:t>
            </w:r>
            <w:proofErr w:type="spellStart"/>
            <w:r>
              <w:rPr>
                <w:sz w:val="20"/>
                <w:szCs w:val="20"/>
              </w:rPr>
              <w:t>German</w:t>
            </w:r>
            <w:proofErr w:type="spellEnd"/>
            <w:r>
              <w:rPr>
                <w:sz w:val="20"/>
                <w:szCs w:val="20"/>
              </w:rPr>
              <w:t xml:space="preserve"> </w:t>
            </w:r>
            <w:proofErr w:type="spellStart"/>
            <w:r>
              <w:rPr>
                <w:sz w:val="20"/>
                <w:szCs w:val="20"/>
              </w:rPr>
              <w:t>association</w:t>
            </w:r>
            <w:proofErr w:type="spellEnd"/>
            <w:r>
              <w:rPr>
                <w:sz w:val="20"/>
                <w:szCs w:val="20"/>
              </w:rPr>
              <w:t xml:space="preserve"> of </w:t>
            </w:r>
            <w:proofErr w:type="spellStart"/>
            <w:r>
              <w:rPr>
                <w:sz w:val="20"/>
                <w:szCs w:val="20"/>
              </w:rPr>
              <w:t>newspaper</w:t>
            </w:r>
            <w:proofErr w:type="spellEnd"/>
            <w:r>
              <w:rPr>
                <w:sz w:val="20"/>
                <w:szCs w:val="20"/>
              </w:rPr>
              <w:t xml:space="preserve"> </w:t>
            </w:r>
            <w:proofErr w:type="spellStart"/>
            <w:r>
              <w:rPr>
                <w:sz w:val="20"/>
                <w:szCs w:val="20"/>
              </w:rPr>
              <w:t>publishers</w:t>
            </w:r>
            <w:proofErr w:type="spellEnd"/>
            <w:r>
              <w:rPr>
                <w:sz w:val="20"/>
                <w:szCs w:val="20"/>
              </w:rPr>
              <w:t xml:space="preserve">, European </w:t>
            </w:r>
            <w:proofErr w:type="spellStart"/>
            <w:r>
              <w:rPr>
                <w:sz w:val="20"/>
                <w:szCs w:val="20"/>
              </w:rPr>
              <w:t>Commission</w:t>
            </w:r>
            <w:proofErr w:type="spellEnd"/>
            <w:r>
              <w:rPr>
                <w:sz w:val="20"/>
                <w:szCs w:val="20"/>
              </w:rPr>
              <w:t xml:space="preserve"> President Jean-Claude Juncker </w:t>
            </w:r>
            <w:proofErr w:type="spellStart"/>
            <w:r>
              <w:rPr>
                <w:sz w:val="20"/>
                <w:szCs w:val="20"/>
              </w:rPr>
              <w:t>announced</w:t>
            </w:r>
            <w:proofErr w:type="spellEnd"/>
            <w:r>
              <w:rPr>
                <w:sz w:val="20"/>
                <w:szCs w:val="20"/>
              </w:rPr>
              <w:t xml:space="preserve"> </w:t>
            </w:r>
            <w:proofErr w:type="spellStart"/>
            <w:r>
              <w:rPr>
                <w:sz w:val="20"/>
                <w:szCs w:val="20"/>
              </w:rPr>
              <w:t>that</w:t>
            </w:r>
            <w:proofErr w:type="spellEnd"/>
            <w:r>
              <w:rPr>
                <w:sz w:val="20"/>
                <w:szCs w:val="20"/>
              </w:rPr>
              <w:t xml:space="preserve"> the European </w:t>
            </w:r>
            <w:proofErr w:type="spellStart"/>
            <w:r>
              <w:rPr>
                <w:sz w:val="20"/>
                <w:szCs w:val="20"/>
              </w:rPr>
              <w:t>Commission</w:t>
            </w:r>
            <w:proofErr w:type="spellEnd"/>
            <w:r>
              <w:rPr>
                <w:sz w:val="20"/>
                <w:szCs w:val="20"/>
              </w:rPr>
              <w:t xml:space="preserve"> </w:t>
            </w:r>
            <w:proofErr w:type="spellStart"/>
            <w:r>
              <w:rPr>
                <w:sz w:val="20"/>
                <w:szCs w:val="20"/>
              </w:rPr>
              <w:t>will</w:t>
            </w:r>
            <w:proofErr w:type="spellEnd"/>
            <w:r>
              <w:rPr>
                <w:sz w:val="20"/>
                <w:szCs w:val="20"/>
              </w:rPr>
              <w:t xml:space="preserve"> present a </w:t>
            </w:r>
            <w:proofErr w:type="spellStart"/>
            <w:r>
              <w:rPr>
                <w:sz w:val="20"/>
                <w:szCs w:val="20"/>
              </w:rPr>
              <w:t>proposal</w:t>
            </w:r>
            <w:proofErr w:type="spellEnd"/>
            <w:r>
              <w:rPr>
                <w:sz w:val="20"/>
                <w:szCs w:val="20"/>
              </w:rPr>
              <w:t xml:space="preserve"> </w:t>
            </w:r>
            <w:proofErr w:type="spellStart"/>
            <w:r>
              <w:rPr>
                <w:sz w:val="20"/>
                <w:szCs w:val="20"/>
              </w:rPr>
              <w:t>including</w:t>
            </w:r>
            <w:proofErr w:type="spellEnd"/>
            <w:r>
              <w:rPr>
                <w:sz w:val="20"/>
                <w:szCs w:val="20"/>
              </w:rPr>
              <w:t xml:space="preserve"> a </w:t>
            </w:r>
            <w:proofErr w:type="spellStart"/>
            <w:r>
              <w:rPr>
                <w:sz w:val="20"/>
                <w:szCs w:val="20"/>
              </w:rPr>
              <w:t>reduced</w:t>
            </w:r>
            <w:proofErr w:type="spellEnd"/>
            <w:r>
              <w:rPr>
                <w:sz w:val="20"/>
                <w:szCs w:val="20"/>
              </w:rPr>
              <w:t xml:space="preserve"> VAT </w:t>
            </w:r>
            <w:proofErr w:type="spellStart"/>
            <w:r>
              <w:rPr>
                <w:sz w:val="20"/>
                <w:szCs w:val="20"/>
              </w:rPr>
              <w:t>rate</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on-line</w:t>
            </w:r>
            <w:proofErr w:type="spellEnd"/>
            <w:r>
              <w:rPr>
                <w:sz w:val="20"/>
                <w:szCs w:val="20"/>
              </w:rPr>
              <w:t xml:space="preserve"> </w:t>
            </w:r>
            <w:proofErr w:type="spellStart"/>
            <w:r>
              <w:rPr>
                <w:sz w:val="20"/>
                <w:szCs w:val="20"/>
              </w:rPr>
              <w:t>books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newspapers</w:t>
            </w:r>
            <w:proofErr w:type="spellEnd"/>
            <w:r>
              <w:rPr>
                <w:sz w:val="20"/>
                <w:szCs w:val="20"/>
              </w:rPr>
              <w:t xml:space="preserve">, </w:t>
            </w:r>
            <w:proofErr w:type="spellStart"/>
            <w:r>
              <w:rPr>
                <w:sz w:val="20"/>
                <w:szCs w:val="20"/>
              </w:rPr>
              <w:t>saying</w:t>
            </w:r>
            <w:proofErr w:type="spellEnd"/>
            <w:r>
              <w:rPr>
                <w:sz w:val="20"/>
                <w:szCs w:val="20"/>
              </w:rPr>
              <w:t xml:space="preserve"> </w:t>
            </w:r>
            <w:proofErr w:type="spellStart"/>
            <w:r>
              <w:rPr>
                <w:sz w:val="20"/>
                <w:szCs w:val="20"/>
              </w:rPr>
              <w:t>that</w:t>
            </w:r>
            <w:proofErr w:type="spellEnd"/>
            <w:r>
              <w:rPr>
                <w:sz w:val="20"/>
                <w:szCs w:val="20"/>
              </w:rPr>
              <w:t xml:space="preserve"> the VAT </w:t>
            </w:r>
            <w:proofErr w:type="spellStart"/>
            <w:r>
              <w:rPr>
                <w:sz w:val="20"/>
                <w:szCs w:val="20"/>
              </w:rPr>
              <w:t>rate</w:t>
            </w:r>
            <w:proofErr w:type="spellEnd"/>
            <w:r>
              <w:rPr>
                <w:sz w:val="20"/>
                <w:szCs w:val="20"/>
              </w:rPr>
              <w:t xml:space="preserve"> </w:t>
            </w:r>
            <w:proofErr w:type="spellStart"/>
            <w:r>
              <w:rPr>
                <w:sz w:val="20"/>
                <w:szCs w:val="20"/>
              </w:rPr>
              <w:t>should</w:t>
            </w:r>
            <w:proofErr w:type="spellEnd"/>
            <w:r>
              <w:rPr>
                <w:sz w:val="20"/>
                <w:szCs w:val="20"/>
              </w:rPr>
              <w:t xml:space="preserve"> </w:t>
            </w:r>
            <w:proofErr w:type="spellStart"/>
            <w:r>
              <w:rPr>
                <w:sz w:val="20"/>
                <w:szCs w:val="20"/>
              </w:rPr>
              <w:t>not</w:t>
            </w:r>
            <w:proofErr w:type="spellEnd"/>
            <w:r>
              <w:rPr>
                <w:sz w:val="20"/>
                <w:szCs w:val="20"/>
              </w:rPr>
              <w:t xml:space="preserve"> </w:t>
            </w:r>
            <w:proofErr w:type="spellStart"/>
            <w:r>
              <w:rPr>
                <w:sz w:val="20"/>
                <w:szCs w:val="20"/>
              </w:rPr>
              <w:t>depend</w:t>
            </w:r>
            <w:proofErr w:type="spellEnd"/>
            <w:r>
              <w:rPr>
                <w:sz w:val="20"/>
                <w:szCs w:val="20"/>
              </w:rPr>
              <w:t xml:space="preserve"> on the </w:t>
            </w:r>
            <w:proofErr w:type="spellStart"/>
            <w:r>
              <w:rPr>
                <w:sz w:val="20"/>
                <w:szCs w:val="20"/>
              </w:rPr>
              <w:t>technology</w:t>
            </w:r>
            <w:proofErr w:type="spellEnd"/>
            <w:r>
              <w:rPr>
                <w:sz w:val="20"/>
                <w:szCs w:val="20"/>
              </w:rPr>
              <w:t xml:space="preserve"> </w:t>
            </w:r>
            <w:proofErr w:type="spellStart"/>
            <w:r>
              <w:rPr>
                <w:sz w:val="20"/>
                <w:szCs w:val="20"/>
              </w:rPr>
              <w:t>used</w:t>
            </w:r>
            <w:proofErr w:type="spellEnd"/>
            <w:r>
              <w:rPr>
                <w:sz w:val="20"/>
                <w:szCs w:val="20"/>
              </w:rPr>
              <w:t xml:space="preserve">. </w:t>
            </w:r>
            <w:proofErr w:type="spellStart"/>
            <w:r>
              <w:rPr>
                <w:sz w:val="20"/>
                <w:szCs w:val="20"/>
              </w:rPr>
              <w:t>Only</w:t>
            </w:r>
            <w:proofErr w:type="spellEnd"/>
            <w:r>
              <w:rPr>
                <w:sz w:val="20"/>
                <w:szCs w:val="20"/>
              </w:rPr>
              <w:t xml:space="preserve"> in </w:t>
            </w:r>
            <w:proofErr w:type="spellStart"/>
            <w:r>
              <w:rPr>
                <w:sz w:val="20"/>
                <w:szCs w:val="20"/>
              </w:rPr>
              <w:t>March</w:t>
            </w:r>
            <w:proofErr w:type="spellEnd"/>
            <w:r>
              <w:rPr>
                <w:sz w:val="20"/>
                <w:szCs w:val="20"/>
              </w:rPr>
              <w:t xml:space="preserve"> 2015, Luxembourg </w:t>
            </w:r>
            <w:proofErr w:type="spellStart"/>
            <w:r>
              <w:rPr>
                <w:sz w:val="20"/>
                <w:szCs w:val="20"/>
              </w:rPr>
              <w:t>and</w:t>
            </w:r>
            <w:proofErr w:type="spellEnd"/>
            <w:r>
              <w:rPr>
                <w:sz w:val="20"/>
                <w:szCs w:val="20"/>
              </w:rPr>
              <w:t xml:space="preserve"> France had lost cases case </w:t>
            </w:r>
            <w:proofErr w:type="spellStart"/>
            <w:r>
              <w:rPr>
                <w:sz w:val="20"/>
                <w:szCs w:val="20"/>
              </w:rPr>
              <w:t>before</w:t>
            </w:r>
            <w:proofErr w:type="spellEnd"/>
            <w:r>
              <w:rPr>
                <w:sz w:val="20"/>
                <w:szCs w:val="20"/>
              </w:rPr>
              <w:t xml:space="preserve"> the ECJ </w:t>
            </w:r>
            <w:proofErr w:type="spellStart"/>
            <w:r>
              <w:rPr>
                <w:sz w:val="20"/>
                <w:szCs w:val="20"/>
              </w:rPr>
              <w:t>concerning</w:t>
            </w:r>
            <w:proofErr w:type="spellEnd"/>
            <w:r>
              <w:rPr>
                <w:sz w:val="20"/>
                <w:szCs w:val="20"/>
              </w:rPr>
              <w:t xml:space="preserve"> </w:t>
            </w:r>
            <w:proofErr w:type="spellStart"/>
            <w:r>
              <w:rPr>
                <w:sz w:val="20"/>
                <w:szCs w:val="20"/>
              </w:rPr>
              <w:t>their</w:t>
            </w:r>
            <w:proofErr w:type="spellEnd"/>
            <w:r>
              <w:rPr>
                <w:sz w:val="20"/>
                <w:szCs w:val="20"/>
              </w:rPr>
              <w:t xml:space="preserve"> </w:t>
            </w:r>
            <w:proofErr w:type="spellStart"/>
            <w:r>
              <w:rPr>
                <w:sz w:val="20"/>
                <w:szCs w:val="20"/>
              </w:rPr>
              <w:t>introduction</w:t>
            </w:r>
            <w:proofErr w:type="spellEnd"/>
            <w:r>
              <w:rPr>
                <w:sz w:val="20"/>
                <w:szCs w:val="20"/>
              </w:rPr>
              <w:t xml:space="preserve"> of a </w:t>
            </w:r>
            <w:proofErr w:type="spellStart"/>
            <w:r>
              <w:rPr>
                <w:sz w:val="20"/>
                <w:szCs w:val="20"/>
              </w:rPr>
              <w:t>reduced</w:t>
            </w:r>
            <w:proofErr w:type="spellEnd"/>
            <w:r>
              <w:rPr>
                <w:sz w:val="20"/>
                <w:szCs w:val="20"/>
              </w:rPr>
              <w:t xml:space="preserve"> VAT </w:t>
            </w:r>
            <w:proofErr w:type="spellStart"/>
            <w:r>
              <w:rPr>
                <w:sz w:val="20"/>
                <w:szCs w:val="20"/>
              </w:rPr>
              <w:t>rate</w:t>
            </w:r>
            <w:proofErr w:type="spellEnd"/>
            <w:r>
              <w:rPr>
                <w:sz w:val="20"/>
                <w:szCs w:val="20"/>
              </w:rPr>
              <w:t xml:space="preserve"> on </w:t>
            </w:r>
            <w:proofErr w:type="spellStart"/>
            <w:r>
              <w:rPr>
                <w:sz w:val="20"/>
                <w:szCs w:val="20"/>
              </w:rPr>
              <w:t>e-books</w:t>
            </w:r>
            <w:proofErr w:type="spellEnd"/>
            <w:r>
              <w:rPr>
                <w:sz w:val="20"/>
                <w:szCs w:val="20"/>
              </w:rPr>
              <w:t>.</w:t>
            </w:r>
          </w:p>
          <w:p w:rsidR="00F76C46" w:rsidRDefault="00F76C46">
            <w:pPr>
              <w:pStyle w:val="Lijstalinea"/>
              <w:spacing w:line="276" w:lineRule="auto"/>
              <w:ind w:left="426"/>
              <w:rPr>
                <w:sz w:val="20"/>
                <w:szCs w:val="20"/>
              </w:rPr>
            </w:pPr>
          </w:p>
          <w:p w:rsidR="00F76C46" w:rsidRDefault="00F76C46" w:rsidP="00CA2DFB">
            <w:pPr>
              <w:pStyle w:val="Lijstalinea"/>
              <w:numPr>
                <w:ilvl w:val="0"/>
                <w:numId w:val="3"/>
              </w:numPr>
              <w:spacing w:line="276" w:lineRule="auto"/>
              <w:rPr>
                <w:sz w:val="20"/>
                <w:szCs w:val="20"/>
              </w:rPr>
            </w:pPr>
            <w:proofErr w:type="spellStart"/>
            <w:r>
              <w:rPr>
                <w:sz w:val="20"/>
                <w:szCs w:val="20"/>
              </w:rPr>
              <w:t>Text</w:t>
            </w:r>
            <w:proofErr w:type="spellEnd"/>
            <w:r>
              <w:rPr>
                <w:sz w:val="20"/>
                <w:szCs w:val="20"/>
              </w:rPr>
              <w:t xml:space="preserve"> of the speech: </w:t>
            </w:r>
            <w:hyperlink r:id="rId14" w:history="1">
              <w:r>
                <w:rPr>
                  <w:rStyle w:val="Hyperlink"/>
                  <w:sz w:val="20"/>
                  <w:szCs w:val="20"/>
                </w:rPr>
                <w:t>EN</w:t>
              </w:r>
            </w:hyperlink>
          </w:p>
          <w:p w:rsidR="00F76C46" w:rsidRDefault="00F76C46">
            <w:pPr>
              <w:pStyle w:val="Lijstalinea"/>
              <w:spacing w:line="276" w:lineRule="auto"/>
              <w:ind w:left="426"/>
              <w:rPr>
                <w:sz w:val="20"/>
                <w:szCs w:val="20"/>
              </w:rPr>
            </w:pPr>
          </w:p>
          <w:p w:rsidR="00F76C46" w:rsidRDefault="00F76C46" w:rsidP="00CA2DFB">
            <w:pPr>
              <w:pStyle w:val="Lijstalinea"/>
              <w:numPr>
                <w:ilvl w:val="0"/>
                <w:numId w:val="1"/>
              </w:numPr>
              <w:spacing w:line="276" w:lineRule="auto"/>
              <w:rPr>
                <w:b/>
                <w:bCs/>
                <w:sz w:val="20"/>
                <w:szCs w:val="20"/>
              </w:rPr>
            </w:pPr>
            <w:r>
              <w:rPr>
                <w:b/>
                <w:bCs/>
                <w:sz w:val="20"/>
                <w:szCs w:val="20"/>
              </w:rPr>
              <w:t xml:space="preserve">Australia </w:t>
            </w:r>
            <w:proofErr w:type="spellStart"/>
            <w:r>
              <w:rPr>
                <w:b/>
                <w:bCs/>
                <w:sz w:val="20"/>
                <w:szCs w:val="20"/>
              </w:rPr>
              <w:t>to</w:t>
            </w:r>
            <w:proofErr w:type="spellEnd"/>
            <w:r>
              <w:rPr>
                <w:b/>
                <w:bCs/>
                <w:sz w:val="20"/>
                <w:szCs w:val="20"/>
              </w:rPr>
              <w:t xml:space="preserve"> </w:t>
            </w:r>
            <w:proofErr w:type="spellStart"/>
            <w:r>
              <w:rPr>
                <w:b/>
                <w:bCs/>
                <w:sz w:val="20"/>
                <w:szCs w:val="20"/>
              </w:rPr>
              <w:t>publish</w:t>
            </w:r>
            <w:proofErr w:type="spellEnd"/>
            <w:r>
              <w:rPr>
                <w:b/>
                <w:bCs/>
                <w:sz w:val="20"/>
                <w:szCs w:val="20"/>
              </w:rPr>
              <w:t xml:space="preserve"> country-</w:t>
            </w:r>
            <w:proofErr w:type="spellStart"/>
            <w:r>
              <w:rPr>
                <w:b/>
                <w:bCs/>
                <w:sz w:val="20"/>
                <w:szCs w:val="20"/>
              </w:rPr>
              <w:t>by</w:t>
            </w:r>
            <w:proofErr w:type="spellEnd"/>
            <w:r>
              <w:rPr>
                <w:b/>
                <w:bCs/>
                <w:sz w:val="20"/>
                <w:szCs w:val="20"/>
              </w:rPr>
              <w:t xml:space="preserve">-country information on </w:t>
            </w:r>
            <w:proofErr w:type="spellStart"/>
            <w:r>
              <w:rPr>
                <w:b/>
                <w:bCs/>
                <w:sz w:val="20"/>
                <w:szCs w:val="20"/>
              </w:rPr>
              <w:t>income</w:t>
            </w:r>
            <w:proofErr w:type="spellEnd"/>
            <w:r>
              <w:rPr>
                <w:b/>
                <w:bCs/>
                <w:sz w:val="20"/>
                <w:szCs w:val="20"/>
              </w:rPr>
              <w:t xml:space="preserve"> </w:t>
            </w:r>
            <w:proofErr w:type="spellStart"/>
            <w:r>
              <w:rPr>
                <w:b/>
                <w:bCs/>
                <w:sz w:val="20"/>
                <w:szCs w:val="20"/>
              </w:rPr>
              <w:t>and</w:t>
            </w:r>
            <w:proofErr w:type="spellEnd"/>
            <w:r>
              <w:rPr>
                <w:b/>
                <w:bCs/>
                <w:sz w:val="20"/>
                <w:szCs w:val="20"/>
              </w:rPr>
              <w:t xml:space="preserve"> </w:t>
            </w:r>
            <w:proofErr w:type="spellStart"/>
            <w:r>
              <w:rPr>
                <w:b/>
                <w:bCs/>
                <w:sz w:val="20"/>
                <w:szCs w:val="20"/>
              </w:rPr>
              <w:t>taxes</w:t>
            </w:r>
            <w:proofErr w:type="spellEnd"/>
            <w:r>
              <w:rPr>
                <w:b/>
                <w:bCs/>
                <w:sz w:val="20"/>
                <w:szCs w:val="20"/>
              </w:rPr>
              <w:t xml:space="preserve"> as of late 2015</w:t>
            </w:r>
          </w:p>
          <w:p w:rsidR="00F76C46" w:rsidRDefault="00F76C46">
            <w:pPr>
              <w:pStyle w:val="Lijstalinea"/>
              <w:spacing w:line="276" w:lineRule="auto"/>
              <w:ind w:left="426"/>
              <w:rPr>
                <w:sz w:val="20"/>
                <w:szCs w:val="20"/>
                <w:lang w:val="en"/>
              </w:rPr>
            </w:pPr>
            <w:r>
              <w:rPr>
                <w:sz w:val="20"/>
                <w:szCs w:val="20"/>
                <w:lang w:val="en"/>
              </w:rPr>
              <w:br/>
              <w:t xml:space="preserve">Australia has passed a law according to which the </w:t>
            </w:r>
            <w:proofErr w:type="spellStart"/>
            <w:r>
              <w:rPr>
                <w:sz w:val="20"/>
                <w:szCs w:val="20"/>
              </w:rPr>
              <w:t>total</w:t>
            </w:r>
            <w:proofErr w:type="spellEnd"/>
            <w:r>
              <w:rPr>
                <w:sz w:val="20"/>
                <w:szCs w:val="20"/>
              </w:rPr>
              <w:t xml:space="preserve"> </w:t>
            </w:r>
            <w:proofErr w:type="spellStart"/>
            <w:r>
              <w:rPr>
                <w:sz w:val="20"/>
                <w:szCs w:val="20"/>
              </w:rPr>
              <w:t>income</w:t>
            </w:r>
            <w:proofErr w:type="spellEnd"/>
            <w:r>
              <w:rPr>
                <w:sz w:val="20"/>
                <w:szCs w:val="20"/>
              </w:rPr>
              <w:t xml:space="preserve">, </w:t>
            </w:r>
            <w:proofErr w:type="spellStart"/>
            <w:r>
              <w:rPr>
                <w:sz w:val="20"/>
                <w:szCs w:val="20"/>
              </w:rPr>
              <w:t>taxable</w:t>
            </w:r>
            <w:proofErr w:type="spellEnd"/>
            <w:r>
              <w:rPr>
                <w:sz w:val="20"/>
                <w:szCs w:val="20"/>
              </w:rPr>
              <w:t xml:space="preserve"> </w:t>
            </w:r>
            <w:proofErr w:type="spellStart"/>
            <w:r>
              <w:rPr>
                <w:sz w:val="20"/>
                <w:szCs w:val="20"/>
              </w:rPr>
              <w:t>income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income</w:t>
            </w:r>
            <w:proofErr w:type="spellEnd"/>
            <w:r>
              <w:rPr>
                <w:sz w:val="20"/>
                <w:szCs w:val="20"/>
              </w:rPr>
              <w:t xml:space="preserve"> tax </w:t>
            </w:r>
            <w:proofErr w:type="spellStart"/>
            <w:r>
              <w:rPr>
                <w:sz w:val="20"/>
                <w:szCs w:val="20"/>
              </w:rPr>
              <w:t>payable</w:t>
            </w:r>
            <w:proofErr w:type="spellEnd"/>
            <w:r>
              <w:rPr>
                <w:sz w:val="20"/>
                <w:szCs w:val="20"/>
              </w:rPr>
              <w:t xml:space="preserve"> of companies, </w:t>
            </w:r>
            <w:r>
              <w:rPr>
                <w:sz w:val="20"/>
                <w:szCs w:val="20"/>
                <w:lang w:val="en"/>
              </w:rPr>
              <w:t>certain trusts and limited partnerships whose total income for that year exceeds AUD 100 million (approx. € 71 million) will be made public by the Australian Tax Office. The first data is expected to be released in late 2015, relating to the 2013-2014 financial year. In case of losses incurred, the relevant field would be left blank. Companies will also have the possibility to check upfront the accuracy of the data foreseen for publication. The rules are designed to discourage large corporate entities from engaging in aggressive tax avoidance.</w:t>
            </w:r>
          </w:p>
          <w:p w:rsidR="00F76C46" w:rsidRDefault="00F76C46">
            <w:pPr>
              <w:pStyle w:val="Lijstalinea"/>
              <w:spacing w:line="276" w:lineRule="auto"/>
              <w:ind w:left="426"/>
              <w:rPr>
                <w:sz w:val="20"/>
                <w:szCs w:val="20"/>
              </w:rPr>
            </w:pPr>
          </w:p>
          <w:p w:rsidR="00F76C46" w:rsidRDefault="00F76C46">
            <w:pPr>
              <w:spacing w:line="276" w:lineRule="auto"/>
              <w:jc w:val="center"/>
              <w:rPr>
                <w:sz w:val="20"/>
                <w:szCs w:val="20"/>
              </w:rPr>
            </w:pPr>
            <w:r>
              <w:rPr>
                <w:sz w:val="20"/>
                <w:szCs w:val="20"/>
              </w:rPr>
              <w:t>*****</w:t>
            </w:r>
          </w:p>
          <w:p w:rsidR="00F76C46" w:rsidRDefault="00F76C46">
            <w:pPr>
              <w:spacing w:line="276" w:lineRule="auto"/>
              <w:jc w:val="both"/>
              <w:rPr>
                <w:sz w:val="20"/>
                <w:szCs w:val="20"/>
              </w:rPr>
            </w:pPr>
          </w:p>
          <w:p w:rsidR="00F76C46" w:rsidRDefault="00F76C46">
            <w:pPr>
              <w:spacing w:line="276" w:lineRule="auto"/>
              <w:ind w:left="126"/>
              <w:jc w:val="center"/>
              <w:rPr>
                <w:i/>
                <w:iCs/>
                <w:sz w:val="20"/>
                <w:szCs w:val="20"/>
              </w:rPr>
            </w:pPr>
            <w:r>
              <w:rPr>
                <w:i/>
                <w:iCs/>
                <w:sz w:val="20"/>
                <w:szCs w:val="20"/>
              </w:rPr>
              <w:t xml:space="preserve">The </w:t>
            </w:r>
            <w:proofErr w:type="spellStart"/>
            <w:r>
              <w:rPr>
                <w:i/>
                <w:iCs/>
                <w:sz w:val="20"/>
                <w:szCs w:val="20"/>
              </w:rPr>
              <w:t>selection</w:t>
            </w:r>
            <w:proofErr w:type="spellEnd"/>
            <w:r>
              <w:rPr>
                <w:i/>
                <w:iCs/>
                <w:sz w:val="20"/>
                <w:szCs w:val="20"/>
              </w:rPr>
              <w:t xml:space="preserve"> of the </w:t>
            </w:r>
            <w:proofErr w:type="spellStart"/>
            <w:r>
              <w:rPr>
                <w:i/>
                <w:iCs/>
                <w:sz w:val="20"/>
                <w:szCs w:val="20"/>
              </w:rPr>
              <w:t>remitted</w:t>
            </w:r>
            <w:proofErr w:type="spellEnd"/>
            <w:r>
              <w:rPr>
                <w:i/>
                <w:iCs/>
                <w:sz w:val="20"/>
                <w:szCs w:val="20"/>
              </w:rPr>
              <w:t xml:space="preserve"> </w:t>
            </w:r>
            <w:proofErr w:type="spellStart"/>
            <w:r>
              <w:rPr>
                <w:i/>
                <w:iCs/>
                <w:sz w:val="20"/>
                <w:szCs w:val="20"/>
              </w:rPr>
              <w:t>material</w:t>
            </w:r>
            <w:proofErr w:type="spellEnd"/>
            <w:r>
              <w:rPr>
                <w:i/>
                <w:iCs/>
                <w:sz w:val="20"/>
                <w:szCs w:val="20"/>
              </w:rPr>
              <w:t xml:space="preserve"> has been </w:t>
            </w:r>
            <w:proofErr w:type="spellStart"/>
            <w:r>
              <w:rPr>
                <w:i/>
                <w:iCs/>
                <w:sz w:val="20"/>
                <w:szCs w:val="20"/>
              </w:rPr>
              <w:t>prepared</w:t>
            </w:r>
            <w:proofErr w:type="spellEnd"/>
            <w:r>
              <w:rPr>
                <w:i/>
                <w:iCs/>
                <w:sz w:val="20"/>
                <w:szCs w:val="20"/>
              </w:rPr>
              <w:t xml:space="preserve"> </w:t>
            </w:r>
            <w:proofErr w:type="spellStart"/>
            <w:r>
              <w:rPr>
                <w:i/>
                <w:iCs/>
                <w:sz w:val="20"/>
                <w:szCs w:val="20"/>
              </w:rPr>
              <w:t>by</w:t>
            </w:r>
            <w:proofErr w:type="spellEnd"/>
            <w:r>
              <w:rPr>
                <w:i/>
                <w:iCs/>
                <w:sz w:val="20"/>
                <w:szCs w:val="20"/>
              </w:rPr>
              <w:t xml:space="preserve"> </w:t>
            </w:r>
            <w:proofErr w:type="spellStart"/>
            <w:r>
              <w:rPr>
                <w:i/>
                <w:iCs/>
                <w:sz w:val="20"/>
                <w:szCs w:val="20"/>
              </w:rPr>
              <w:t>Piergiorgio</w:t>
            </w:r>
            <w:proofErr w:type="spellEnd"/>
            <w:r>
              <w:rPr>
                <w:i/>
                <w:iCs/>
                <w:sz w:val="20"/>
                <w:szCs w:val="20"/>
              </w:rPr>
              <w:t xml:space="preserve"> </w:t>
            </w:r>
            <w:proofErr w:type="spellStart"/>
            <w:r>
              <w:rPr>
                <w:i/>
                <w:iCs/>
                <w:sz w:val="20"/>
                <w:szCs w:val="20"/>
              </w:rPr>
              <w:t>Valente</w:t>
            </w:r>
            <w:proofErr w:type="spellEnd"/>
            <w:r>
              <w:rPr>
                <w:i/>
                <w:iCs/>
                <w:sz w:val="20"/>
                <w:szCs w:val="20"/>
              </w:rPr>
              <w:t xml:space="preserve"> / </w:t>
            </w:r>
            <w:proofErr w:type="spellStart"/>
            <w:r>
              <w:rPr>
                <w:i/>
                <w:iCs/>
                <w:sz w:val="20"/>
                <w:szCs w:val="20"/>
              </w:rPr>
              <w:t>Filipa</w:t>
            </w:r>
            <w:proofErr w:type="spellEnd"/>
            <w:r>
              <w:rPr>
                <w:i/>
                <w:iCs/>
                <w:sz w:val="20"/>
                <w:szCs w:val="20"/>
              </w:rPr>
              <w:t xml:space="preserve"> </w:t>
            </w:r>
            <w:proofErr w:type="spellStart"/>
            <w:r>
              <w:rPr>
                <w:i/>
                <w:iCs/>
                <w:sz w:val="20"/>
                <w:szCs w:val="20"/>
              </w:rPr>
              <w:t>Correia</w:t>
            </w:r>
            <w:proofErr w:type="spellEnd"/>
            <w:r>
              <w:rPr>
                <w:i/>
                <w:iCs/>
                <w:sz w:val="20"/>
                <w:szCs w:val="20"/>
              </w:rPr>
              <w:t xml:space="preserve"> / Rudolf </w:t>
            </w:r>
            <w:proofErr w:type="spellStart"/>
            <w:r>
              <w:rPr>
                <w:i/>
                <w:iCs/>
                <w:sz w:val="20"/>
                <w:szCs w:val="20"/>
              </w:rPr>
              <w:t>Reibel</w:t>
            </w:r>
            <w:proofErr w:type="spellEnd"/>
          </w:p>
          <w:p w:rsidR="00F76C46" w:rsidRDefault="00F76C46">
            <w:pPr>
              <w:spacing w:line="276" w:lineRule="auto"/>
              <w:ind w:left="126"/>
              <w:jc w:val="center"/>
              <w:rPr>
                <w:i/>
                <w:iCs/>
                <w:sz w:val="20"/>
                <w:szCs w:val="20"/>
              </w:rPr>
            </w:pPr>
          </w:p>
          <w:p w:rsidR="00F76C46" w:rsidRDefault="00F76C46">
            <w:pPr>
              <w:spacing w:line="276" w:lineRule="auto"/>
              <w:ind w:left="126"/>
              <w:jc w:val="center"/>
              <w:rPr>
                <w:color w:val="0000FF"/>
                <w:u w:val="single"/>
                <w:lang w:eastAsia="fr-BE"/>
              </w:rPr>
            </w:pPr>
            <w:hyperlink r:id="rId15" w:history="1">
              <w:r>
                <w:rPr>
                  <w:rStyle w:val="Hyperlink"/>
                  <w:i/>
                  <w:iCs/>
                  <w:sz w:val="20"/>
                  <w:szCs w:val="20"/>
                </w:rPr>
                <w:t>www.cfe-eutax.org</w:t>
              </w:r>
            </w:hyperlink>
          </w:p>
          <w:p w:rsidR="00F76C46" w:rsidRDefault="00F76C46">
            <w:pPr>
              <w:spacing w:line="276" w:lineRule="auto"/>
              <w:ind w:left="126"/>
              <w:jc w:val="center"/>
              <w:rPr>
                <w:i/>
                <w:iCs/>
                <w:color w:val="0000FF"/>
                <w:sz w:val="20"/>
                <w:szCs w:val="20"/>
                <w:u w:val="single"/>
              </w:rPr>
            </w:pPr>
          </w:p>
          <w:p w:rsidR="00F76C46" w:rsidRDefault="00F76C46">
            <w:pPr>
              <w:spacing w:line="276" w:lineRule="auto"/>
              <w:ind w:left="126"/>
              <w:jc w:val="center"/>
              <w:rPr>
                <w:lang w:val="en-US" w:eastAsia="fr-BE"/>
              </w:rPr>
            </w:pPr>
            <w:r>
              <w:rPr>
                <w:i/>
                <w:iCs/>
                <w:sz w:val="20"/>
                <w:szCs w:val="20"/>
                <w:lang w:val="en-US"/>
              </w:rPr>
              <w:t>Follow us on</w:t>
            </w:r>
            <w:r>
              <w:rPr>
                <w:i/>
                <w:iCs/>
                <w:color w:val="FF0000"/>
                <w:sz w:val="20"/>
                <w:szCs w:val="20"/>
                <w:lang w:val="en-US"/>
              </w:rPr>
              <w:t xml:space="preserve"> </w:t>
            </w:r>
            <w:hyperlink r:id="rId16" w:history="1">
              <w:r>
                <w:rPr>
                  <w:rStyle w:val="Hyperlink"/>
                  <w:sz w:val="20"/>
                  <w:szCs w:val="20"/>
                  <w:lang w:val="en-US"/>
                </w:rPr>
                <w:t>Linked in</w:t>
              </w:r>
            </w:hyperlink>
            <w:r>
              <w:rPr>
                <w:sz w:val="20"/>
                <w:szCs w:val="20"/>
              </w:rPr>
              <w:t xml:space="preserve"> </w:t>
            </w:r>
            <w:r>
              <w:rPr>
                <w:noProof/>
                <w:sz w:val="20"/>
                <w:szCs w:val="20"/>
                <w:lang w:eastAsia="nl-NL"/>
              </w:rPr>
              <w:drawing>
                <wp:inline distT="0" distB="0" distL="0" distR="0">
                  <wp:extent cx="200025" cy="190500"/>
                  <wp:effectExtent l="0" t="0" r="9525" b="0"/>
                  <wp:docPr id="1" name="Afbeelding 1" descr="cid:image002.png@01D05A62.500B7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5A62.500B7F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i/>
                <w:iCs/>
                <w:sz w:val="20"/>
                <w:szCs w:val="20"/>
              </w:rPr>
              <w:t> </w:t>
            </w:r>
          </w:p>
        </w:tc>
      </w:tr>
      <w:tr w:rsidR="00F76C46" w:rsidTr="00F76C46">
        <w:trPr>
          <w:trHeight w:val="20"/>
          <w:tblCellSpacing w:w="0" w:type="dxa"/>
        </w:trPr>
        <w:tc>
          <w:tcPr>
            <w:tcW w:w="9702" w:type="dxa"/>
            <w:tcBorders>
              <w:top w:val="nil"/>
              <w:left w:val="nil"/>
              <w:bottom w:val="nil"/>
              <w:right w:val="nil"/>
            </w:tcBorders>
            <w:tcMar>
              <w:top w:w="375" w:type="dxa"/>
              <w:left w:w="300" w:type="dxa"/>
              <w:bottom w:w="300" w:type="dxa"/>
              <w:right w:w="300" w:type="dxa"/>
            </w:tcMar>
            <w:vAlign w:val="center"/>
          </w:tcPr>
          <w:p w:rsidR="00F76C46" w:rsidRDefault="00F76C46">
            <w:pPr>
              <w:spacing w:line="276" w:lineRule="auto"/>
              <w:jc w:val="both"/>
              <w:rPr>
                <w:sz w:val="20"/>
                <w:szCs w:val="20"/>
                <w:lang w:val="en-US" w:eastAsia="fr-BE"/>
              </w:rPr>
            </w:pPr>
          </w:p>
        </w:tc>
      </w:tr>
    </w:tbl>
    <w:p w:rsidR="00F76C46" w:rsidRDefault="00F76C46" w:rsidP="00F76C46">
      <w:pPr>
        <w:rPr>
          <w:color w:val="1F497D"/>
          <w:lang w:val="en-GB"/>
        </w:rPr>
      </w:pPr>
    </w:p>
    <w:p w:rsidR="00667086" w:rsidRDefault="00667086">
      <w:bookmarkStart w:id="0" w:name="_GoBack"/>
      <w:bookmarkEnd w:id="0"/>
    </w:p>
    <w:sectPr w:rsidR="0066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27D6"/>
    <w:multiLevelType w:val="hybridMultilevel"/>
    <w:tmpl w:val="866C6DD2"/>
    <w:lvl w:ilvl="0" w:tplc="83609160">
      <w:start w:val="1"/>
      <w:numFmt w:val="decimal"/>
      <w:lvlText w:val="%1."/>
      <w:lvlJc w:val="left"/>
      <w:pPr>
        <w:ind w:left="720" w:hanging="360"/>
      </w:pPr>
      <w:rPr>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nsid w:val="58FE4A2F"/>
    <w:multiLevelType w:val="hybridMultilevel"/>
    <w:tmpl w:val="D65E8772"/>
    <w:lvl w:ilvl="0" w:tplc="BD1A2222">
      <w:numFmt w:val="bullet"/>
      <w:lvlText w:val="-"/>
      <w:lvlJc w:val="left"/>
      <w:pPr>
        <w:ind w:left="1068" w:hanging="360"/>
      </w:pPr>
      <w:rPr>
        <w:rFonts w:ascii="Calibri" w:eastAsia="Calibri" w:hAnsi="Calibri"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2">
    <w:nsid w:val="6A1F6D4C"/>
    <w:multiLevelType w:val="hybridMultilevel"/>
    <w:tmpl w:val="74544678"/>
    <w:lvl w:ilvl="0" w:tplc="BD7CDCB4">
      <w:start w:val="1"/>
      <w:numFmt w:val="lowerRoman"/>
      <w:lvlText w:val="(%1)"/>
      <w:lvlJc w:val="left"/>
      <w:pPr>
        <w:ind w:left="1146" w:hanging="72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46"/>
    <w:rsid w:val="00667086"/>
    <w:rsid w:val="00F76C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6C46"/>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76C46"/>
    <w:rPr>
      <w:color w:val="0000FF"/>
      <w:u w:val="single"/>
    </w:rPr>
  </w:style>
  <w:style w:type="paragraph" w:styleId="Lijstalinea">
    <w:name w:val="List Paragraph"/>
    <w:basedOn w:val="Standaard"/>
    <w:uiPriority w:val="34"/>
    <w:qFormat/>
    <w:rsid w:val="00F76C46"/>
    <w:pPr>
      <w:ind w:left="720"/>
    </w:pPr>
    <w:rPr>
      <w:lang w:eastAsia="fr-BE"/>
    </w:rPr>
  </w:style>
  <w:style w:type="paragraph" w:styleId="Ballontekst">
    <w:name w:val="Balloon Text"/>
    <w:basedOn w:val="Standaard"/>
    <w:link w:val="BallontekstChar"/>
    <w:uiPriority w:val="99"/>
    <w:semiHidden/>
    <w:unhideWhenUsed/>
    <w:rsid w:val="00F76C46"/>
    <w:rPr>
      <w:rFonts w:ascii="Tahoma" w:hAnsi="Tahoma" w:cs="Tahoma"/>
      <w:sz w:val="16"/>
      <w:szCs w:val="16"/>
    </w:rPr>
  </w:style>
  <w:style w:type="character" w:customStyle="1" w:styleId="BallontekstChar">
    <w:name w:val="Ballontekst Char"/>
    <w:basedOn w:val="Standaardalinea-lettertype"/>
    <w:link w:val="Ballontekst"/>
    <w:uiPriority w:val="99"/>
    <w:semiHidden/>
    <w:rsid w:val="00F76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6C46"/>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76C46"/>
    <w:rPr>
      <w:color w:val="0000FF"/>
      <w:u w:val="single"/>
    </w:rPr>
  </w:style>
  <w:style w:type="paragraph" w:styleId="Lijstalinea">
    <w:name w:val="List Paragraph"/>
    <w:basedOn w:val="Standaard"/>
    <w:uiPriority w:val="34"/>
    <w:qFormat/>
    <w:rsid w:val="00F76C46"/>
    <w:pPr>
      <w:ind w:left="720"/>
    </w:pPr>
    <w:rPr>
      <w:lang w:eastAsia="fr-BE"/>
    </w:rPr>
  </w:style>
  <w:style w:type="paragraph" w:styleId="Ballontekst">
    <w:name w:val="Balloon Text"/>
    <w:basedOn w:val="Standaard"/>
    <w:link w:val="BallontekstChar"/>
    <w:uiPriority w:val="99"/>
    <w:semiHidden/>
    <w:unhideWhenUsed/>
    <w:rsid w:val="00F76C46"/>
    <w:rPr>
      <w:rFonts w:ascii="Tahoma" w:hAnsi="Tahoma" w:cs="Tahoma"/>
      <w:sz w:val="16"/>
      <w:szCs w:val="16"/>
    </w:rPr>
  </w:style>
  <w:style w:type="character" w:customStyle="1" w:styleId="BallontekstChar">
    <w:name w:val="Ballontekst Char"/>
    <w:basedOn w:val="Standaardalinea-lettertype"/>
    <w:link w:val="Ballontekst"/>
    <w:uiPriority w:val="99"/>
    <w:semiHidden/>
    <w:rsid w:val="00F76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iorities/digital-single-market/docs/dsm-communication_xx.pdf" TargetMode="External"/><Relationship Id="rId13" Type="http://schemas.openxmlformats.org/officeDocument/2006/relationships/hyperlink" Target="http://www.euractiv.com/sections/euro-finance/eu-lawmakers-back-rewards-long-term-shareholders-314439?utm_source=EurActiv+Newsletter&amp;utm_campaign=a784ed4e22-newsletter_euro__finance&amp;utm_medium=email&amp;utm_term=0_bab5f0ea4e-a784ed4e22-245512539" TargetMode="External"/><Relationship Id="rId18" Type="http://schemas.openxmlformats.org/officeDocument/2006/relationships/image" Target="cid:image002.png@01D05A62.500B7F50" TargetMode="External"/><Relationship Id="rId3" Type="http://schemas.microsoft.com/office/2007/relationships/stylesWithEffects" Target="stylesWithEffects.xml"/><Relationship Id="rId7" Type="http://schemas.openxmlformats.org/officeDocument/2006/relationships/image" Target="cid:image001.jpg@01D08CDA.3516A4E0" TargetMode="External"/><Relationship Id="rId12" Type="http://schemas.openxmlformats.org/officeDocument/2006/relationships/hyperlink" Target="http://www.europarl.europa.eu/sides/getDoc.do?pubRef=-//EP//TEXT+IM-PRESS+20150504IPR49621+0+DOC+XML+V0//FR"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linkedin.com/company/confederation-fiscal-europeene?trk=company_nam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uroparl.europa.eu/sides/getDoc.do?pubRef=-%2f%2fEP%2f%2fTEXT%2bIM-PRESS%2b20150504IPR49621%2b0%2bDOC%2bXML%2bV0%2f%2fEN&amp;language=DE" TargetMode="External"/><Relationship Id="rId5" Type="http://schemas.openxmlformats.org/officeDocument/2006/relationships/webSettings" Target="webSettings.xml"/><Relationship Id="rId15" Type="http://schemas.openxmlformats.org/officeDocument/2006/relationships/hyperlink" Target="http://www.cfe-eutax.org" TargetMode="External"/><Relationship Id="rId10" Type="http://schemas.openxmlformats.org/officeDocument/2006/relationships/hyperlink" Target="http://europa.eu/rapid/press-release_MEMO-15-4920_en.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priorities/digital-single-market/docs/dsm-swd_en.pdf" TargetMode="External"/><Relationship Id="rId14" Type="http://schemas.openxmlformats.org/officeDocument/2006/relationships/hyperlink" Target="http://europa.eu/rapid/press-release_SPEECH-15-4951_en.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BD6F1554</Template>
  <TotalTime>1</TotalTime>
  <Pages>2</Pages>
  <Words>816</Words>
  <Characters>4492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 Baykal</dc:creator>
  <cp:lastModifiedBy>Nalan Baykal</cp:lastModifiedBy>
  <cp:revision>1</cp:revision>
  <dcterms:created xsi:type="dcterms:W3CDTF">2015-05-13T07:32:00Z</dcterms:created>
  <dcterms:modified xsi:type="dcterms:W3CDTF">2015-05-13T07:33:00Z</dcterms:modified>
</cp:coreProperties>
</file>