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EB" w:rsidRDefault="00CD66EB" w:rsidP="00CD66EB">
      <w:pPr>
        <w:rPr>
          <w:color w:val="1F497D"/>
          <w:lang w:val="en-US"/>
        </w:rPr>
      </w:pPr>
    </w:p>
    <w:tbl>
      <w:tblPr>
        <w:tblW w:w="1017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CD66EB" w:rsidRPr="00CD66EB" w:rsidTr="00CD66EB">
        <w:trPr>
          <w:trHeight w:val="1924"/>
          <w:tblCellSpacing w:w="0" w:type="dxa"/>
        </w:trPr>
        <w:tc>
          <w:tcPr>
            <w:tcW w:w="1017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CD66EB">
              <w:trPr>
                <w:trHeight w:val="76"/>
                <w:tblCellSpacing w:w="0" w:type="dxa"/>
              </w:trPr>
              <w:tc>
                <w:tcPr>
                  <w:tcW w:w="9094" w:type="dxa"/>
                  <w:vAlign w:val="center"/>
                  <w:hideMark/>
                </w:tcPr>
                <w:p w:rsidR="00CD66EB" w:rsidRDefault="00CD66EB">
                  <w:pPr>
                    <w:spacing w:line="76" w:lineRule="atLeast"/>
                    <w:jc w:val="both"/>
                    <w:rPr>
                      <w:sz w:val="20"/>
                      <w:szCs w:val="20"/>
                    </w:rPr>
                  </w:pPr>
                  <w:r>
                    <w:rPr>
                      <w:noProof/>
                      <w:sz w:val="20"/>
                      <w:szCs w:val="20"/>
                      <w:lang w:eastAsia="nl-NL"/>
                    </w:rPr>
                    <w:drawing>
                      <wp:inline distT="0" distB="0" distL="0" distR="0" wp14:anchorId="7A8839C5" wp14:editId="571D385F">
                        <wp:extent cx="5762625" cy="666750"/>
                        <wp:effectExtent l="0" t="0" r="0" b="0"/>
                        <wp:docPr id="2" name="Afbeelding 2" descr="cid:image003.jpg@01D07B83.A548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B83.A54837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CD66EB" w:rsidRDefault="00CD66EB">
                  <w:pPr>
                    <w:spacing w:line="276" w:lineRule="auto"/>
                    <w:jc w:val="both"/>
                    <w:rPr>
                      <w:color w:val="ACABAB"/>
                      <w:sz w:val="20"/>
                      <w:szCs w:val="20"/>
                    </w:rPr>
                  </w:pPr>
                </w:p>
                <w:p w:rsidR="00CD66EB" w:rsidRDefault="00CD66EB">
                  <w:pPr>
                    <w:spacing w:line="76" w:lineRule="atLeast"/>
                    <w:jc w:val="both"/>
                    <w:rPr>
                      <w:color w:val="ACABAB"/>
                      <w:sz w:val="20"/>
                      <w:szCs w:val="20"/>
                    </w:rPr>
                  </w:pPr>
                </w:p>
              </w:tc>
            </w:tr>
          </w:tbl>
          <w:p w:rsidR="00CD66EB" w:rsidRPr="00CD66EB" w:rsidRDefault="00CD66EB">
            <w:pPr>
              <w:spacing w:line="276" w:lineRule="auto"/>
              <w:jc w:val="both"/>
              <w:rPr>
                <w:b/>
                <w:bCs/>
                <w:sz w:val="20"/>
                <w:szCs w:val="20"/>
                <w:lang w:val="en-GB"/>
              </w:rPr>
            </w:pPr>
            <w:r w:rsidRPr="00CD66EB">
              <w:rPr>
                <w:b/>
                <w:bCs/>
                <w:sz w:val="20"/>
                <w:szCs w:val="20"/>
                <w:lang w:val="en-GB"/>
              </w:rPr>
              <w:t>Fiscal Committee</w:t>
            </w:r>
          </w:p>
          <w:p w:rsidR="00CD66EB" w:rsidRDefault="00CD66EB">
            <w:pPr>
              <w:shd w:val="clear" w:color="auto" w:fill="FEFEFE"/>
              <w:spacing w:line="276" w:lineRule="auto"/>
              <w:ind w:right="2925"/>
              <w:jc w:val="both"/>
              <w:rPr>
                <w:b/>
                <w:bCs/>
                <w:color w:val="000000"/>
                <w:sz w:val="20"/>
                <w:szCs w:val="20"/>
                <w:lang w:val="en" w:eastAsia="fr-BE"/>
              </w:rPr>
            </w:pPr>
            <w:r>
              <w:rPr>
                <w:b/>
                <w:bCs/>
                <w:color w:val="000000"/>
                <w:sz w:val="20"/>
                <w:szCs w:val="20"/>
                <w:lang w:val="en"/>
              </w:rPr>
              <w:t xml:space="preserve">                                                                                                                                                    </w:t>
            </w:r>
          </w:p>
          <w:p w:rsidR="00CD66EB" w:rsidRDefault="00CD66EB">
            <w:pPr>
              <w:shd w:val="clear" w:color="auto" w:fill="FEFEFE"/>
              <w:spacing w:line="276" w:lineRule="auto"/>
              <w:ind w:left="7371"/>
              <w:jc w:val="both"/>
              <w:rPr>
                <w:b/>
                <w:bCs/>
                <w:color w:val="000000"/>
                <w:sz w:val="20"/>
                <w:szCs w:val="20"/>
                <w:lang w:val="en"/>
              </w:rPr>
            </w:pPr>
            <w:r>
              <w:rPr>
                <w:b/>
                <w:bCs/>
                <w:color w:val="000000"/>
                <w:sz w:val="20"/>
                <w:szCs w:val="20"/>
                <w:lang w:val="en"/>
              </w:rPr>
              <w:t>20 April 2015</w:t>
            </w:r>
          </w:p>
          <w:p w:rsidR="00CD66EB" w:rsidRPr="00CD66EB" w:rsidRDefault="00CD66EB">
            <w:pPr>
              <w:spacing w:line="276" w:lineRule="auto"/>
              <w:ind w:left="426"/>
              <w:rPr>
                <w:sz w:val="20"/>
                <w:szCs w:val="20"/>
                <w:lang w:val="en-GB"/>
              </w:rPr>
            </w:pPr>
          </w:p>
          <w:p w:rsidR="00CD66EB" w:rsidRPr="00CD66EB" w:rsidRDefault="00CD66EB">
            <w:pPr>
              <w:pStyle w:val="Lijstalinea"/>
              <w:spacing w:line="276" w:lineRule="auto"/>
              <w:ind w:hanging="360"/>
              <w:rPr>
                <w:b/>
                <w:bCs/>
                <w:sz w:val="20"/>
                <w:szCs w:val="20"/>
                <w:lang w:val="en-GB" w:eastAsia="en-US"/>
              </w:rPr>
            </w:pPr>
            <w:r w:rsidRPr="00CD66EB">
              <w:rPr>
                <w:b/>
                <w:bCs/>
                <w:sz w:val="20"/>
                <w:szCs w:val="20"/>
                <w:lang w:val="en-GB" w:eastAsia="en-US"/>
              </w:rPr>
              <w:t>1.</w:t>
            </w:r>
            <w:r w:rsidRPr="00CD66EB">
              <w:rPr>
                <w:rFonts w:ascii="Times New Roman" w:hAnsi="Times New Roman"/>
                <w:b/>
                <w:bCs/>
                <w:sz w:val="14"/>
                <w:szCs w:val="14"/>
                <w:lang w:val="en-GB" w:eastAsia="en-US"/>
              </w:rPr>
              <w:t xml:space="preserve">       </w:t>
            </w:r>
            <w:r w:rsidRPr="00CD66EB">
              <w:rPr>
                <w:b/>
                <w:bCs/>
                <w:sz w:val="20"/>
                <w:szCs w:val="20"/>
                <w:lang w:val="en-GB" w:eastAsia="en-US"/>
              </w:rPr>
              <w:t>CJEU: Germany cannot make tax deferral conditional on reinvestment of capital gains in Germany</w:t>
            </w:r>
          </w:p>
          <w:p w:rsidR="00CD66EB" w:rsidRPr="00CD66EB" w:rsidRDefault="00CD66EB">
            <w:pPr>
              <w:spacing w:line="276" w:lineRule="auto"/>
              <w:ind w:left="426"/>
              <w:rPr>
                <w:sz w:val="20"/>
                <w:szCs w:val="20"/>
                <w:lang w:val="en-GB"/>
              </w:rPr>
            </w:pPr>
          </w:p>
          <w:p w:rsidR="00CD66EB" w:rsidRPr="00CD66EB" w:rsidRDefault="00CD66EB">
            <w:pPr>
              <w:spacing w:line="276" w:lineRule="auto"/>
              <w:ind w:left="426"/>
              <w:rPr>
                <w:sz w:val="20"/>
                <w:szCs w:val="20"/>
                <w:lang w:val="en-GB"/>
              </w:rPr>
            </w:pPr>
            <w:r w:rsidRPr="00CD66EB">
              <w:rPr>
                <w:sz w:val="20"/>
                <w:szCs w:val="20"/>
                <w:lang w:val="en-GB"/>
              </w:rPr>
              <w:t>The EU Court of Justice (CJEU) decided on 16 April 2015 in an infringement procedure against Germany (C-591/13) that German income tax rules making a deferral of taxation on capital gains from the sale of an asset of a permanent establishment located in Germany subject to the condition that those capital gains are reinvested in the acquisition of replacement assets of a permanent establishment within Germany are incompatible with the EU and EEA freedom of establishment.</w:t>
            </w:r>
          </w:p>
          <w:p w:rsidR="00CD66EB" w:rsidRPr="00CD66EB" w:rsidRDefault="00CD66EB">
            <w:pPr>
              <w:spacing w:line="276" w:lineRule="auto"/>
              <w:ind w:left="426"/>
              <w:rPr>
                <w:sz w:val="20"/>
                <w:szCs w:val="20"/>
                <w:lang w:val="en-GB"/>
              </w:rPr>
            </w:pPr>
          </w:p>
          <w:p w:rsidR="00CD66EB" w:rsidRDefault="00CD66EB">
            <w:pPr>
              <w:pStyle w:val="Lijstalinea"/>
              <w:spacing w:line="276" w:lineRule="auto"/>
              <w:ind w:left="1068" w:hanging="360"/>
              <w:rPr>
                <w:sz w:val="20"/>
                <w:szCs w:val="20"/>
                <w:lang w:val="fr-BE"/>
              </w:rPr>
            </w:pPr>
            <w:r>
              <w:rPr>
                <w:sz w:val="20"/>
                <w:szCs w:val="20"/>
                <w:lang w:val="fr-BE"/>
              </w:rPr>
              <w:t>-</w:t>
            </w:r>
            <w:r>
              <w:rPr>
                <w:rFonts w:ascii="Times New Roman" w:hAnsi="Times New Roman"/>
                <w:sz w:val="14"/>
                <w:szCs w:val="14"/>
                <w:lang w:val="fr-BE"/>
              </w:rPr>
              <w:t xml:space="preserve">          </w:t>
            </w:r>
            <w:hyperlink r:id="rId7" w:history="1">
              <w:proofErr w:type="spellStart"/>
              <w:r>
                <w:rPr>
                  <w:rStyle w:val="Hyperlink"/>
                  <w:sz w:val="20"/>
                  <w:szCs w:val="20"/>
                  <w:lang w:val="fr-BE"/>
                </w:rPr>
                <w:t>Judgment</w:t>
              </w:r>
              <w:proofErr w:type="spellEnd"/>
              <w:r>
                <w:rPr>
                  <w:rStyle w:val="Hyperlink"/>
                  <w:sz w:val="20"/>
                  <w:szCs w:val="20"/>
                  <w:lang w:val="fr-BE"/>
                </w:rPr>
                <w:t> </w:t>
              </w:r>
            </w:hyperlink>
            <w:r>
              <w:rPr>
                <w:sz w:val="20"/>
                <w:szCs w:val="20"/>
                <w:lang w:val="fr-BE"/>
              </w:rPr>
              <w:t xml:space="preserve">: EN (all EU </w:t>
            </w:r>
            <w:proofErr w:type="spellStart"/>
            <w:r>
              <w:rPr>
                <w:sz w:val="20"/>
                <w:szCs w:val="20"/>
                <w:lang w:val="fr-BE"/>
              </w:rPr>
              <w:t>languages</w:t>
            </w:r>
            <w:proofErr w:type="spellEnd"/>
            <w:r>
              <w:rPr>
                <w:sz w:val="20"/>
                <w:szCs w:val="20"/>
                <w:lang w:val="fr-BE"/>
              </w:rPr>
              <w:t>)</w:t>
            </w:r>
          </w:p>
          <w:p w:rsidR="00CD66EB" w:rsidRDefault="00CD66EB">
            <w:pPr>
              <w:pStyle w:val="Lijstalinea"/>
              <w:spacing w:line="276" w:lineRule="auto"/>
              <w:ind w:left="1068"/>
              <w:rPr>
                <w:color w:val="C00000"/>
                <w:sz w:val="20"/>
                <w:szCs w:val="20"/>
                <w:lang w:val="fr-BE"/>
              </w:rPr>
            </w:pPr>
          </w:p>
          <w:p w:rsidR="00CD66EB" w:rsidRDefault="00CD66EB">
            <w:pPr>
              <w:pStyle w:val="Lijstalinea"/>
              <w:spacing w:line="276" w:lineRule="auto"/>
              <w:ind w:left="1068"/>
              <w:rPr>
                <w:color w:val="C00000"/>
                <w:sz w:val="20"/>
                <w:szCs w:val="20"/>
                <w:lang w:val="fr-BE"/>
              </w:rPr>
            </w:pPr>
          </w:p>
          <w:p w:rsidR="00CD66EB" w:rsidRPr="00CD66EB" w:rsidRDefault="00CD66EB">
            <w:pPr>
              <w:pStyle w:val="Lijstalinea"/>
              <w:spacing w:line="276" w:lineRule="auto"/>
              <w:ind w:hanging="360"/>
              <w:rPr>
                <w:sz w:val="20"/>
                <w:szCs w:val="20"/>
                <w:lang w:val="en-GB"/>
              </w:rPr>
            </w:pPr>
            <w:r w:rsidRPr="00CD66EB">
              <w:rPr>
                <w:b/>
                <w:bCs/>
                <w:sz w:val="20"/>
                <w:szCs w:val="20"/>
                <w:lang w:val="en-GB"/>
              </w:rPr>
              <w:t>2.</w:t>
            </w:r>
            <w:r w:rsidRPr="00CD66EB">
              <w:rPr>
                <w:rFonts w:ascii="Times New Roman" w:hAnsi="Times New Roman"/>
                <w:b/>
                <w:bCs/>
                <w:sz w:val="14"/>
                <w:szCs w:val="14"/>
                <w:lang w:val="en-GB"/>
              </w:rPr>
              <w:t xml:space="preserve">       </w:t>
            </w:r>
            <w:r>
              <w:rPr>
                <w:b/>
                <w:bCs/>
                <w:sz w:val="20"/>
                <w:szCs w:val="20"/>
                <w:lang w:val="en"/>
              </w:rPr>
              <w:t>CJEU decides on the VAT treatment of ancillary charges in immovable property rent</w:t>
            </w:r>
          </w:p>
          <w:p w:rsidR="00CD66EB" w:rsidRDefault="00CD66EB">
            <w:pPr>
              <w:pStyle w:val="Lijstalinea"/>
              <w:spacing w:line="276" w:lineRule="auto"/>
              <w:ind w:left="426"/>
              <w:rPr>
                <w:sz w:val="20"/>
                <w:szCs w:val="20"/>
                <w:lang w:val="en"/>
              </w:rPr>
            </w:pPr>
            <w:r>
              <w:rPr>
                <w:sz w:val="20"/>
                <w:szCs w:val="20"/>
                <w:lang w:val="en"/>
              </w:rPr>
              <w:br/>
              <w:t xml:space="preserve">On 16 April 2015, the CJEU has decided in the Polish preliminary ruling case C-42/14, </w:t>
            </w:r>
            <w:hyperlink r:id="rId8" w:tgtFrame="_blank" w:history="1">
              <w:r>
                <w:rPr>
                  <w:rStyle w:val="Hyperlink"/>
                  <w:sz w:val="20"/>
                  <w:szCs w:val="20"/>
                  <w:lang w:val="en"/>
                </w:rPr>
                <w:t> </w:t>
              </w:r>
              <w:proofErr w:type="spellStart"/>
              <w:r>
                <w:rPr>
                  <w:rStyle w:val="Hyperlink"/>
                  <w:sz w:val="20"/>
                  <w:szCs w:val="20"/>
                  <w:lang w:val="en"/>
                </w:rPr>
                <w:t>Wojskowa</w:t>
              </w:r>
              <w:proofErr w:type="spellEnd"/>
              <w:r>
                <w:rPr>
                  <w:rStyle w:val="Hyperlink"/>
                  <w:sz w:val="20"/>
                  <w:szCs w:val="20"/>
                  <w:lang w:val="en"/>
                </w:rPr>
                <w:t xml:space="preserve"> </w:t>
              </w:r>
              <w:proofErr w:type="spellStart"/>
              <w:r>
                <w:rPr>
                  <w:rStyle w:val="Hyperlink"/>
                  <w:sz w:val="20"/>
                  <w:szCs w:val="20"/>
                  <w:lang w:val="en"/>
                </w:rPr>
                <w:t>Agencja</w:t>
              </w:r>
              <w:proofErr w:type="spellEnd"/>
              <w:r>
                <w:rPr>
                  <w:rStyle w:val="Hyperlink"/>
                  <w:sz w:val="20"/>
                  <w:szCs w:val="20"/>
                  <w:lang w:val="en"/>
                </w:rPr>
                <w:t xml:space="preserve"> </w:t>
              </w:r>
              <w:proofErr w:type="spellStart"/>
              <w:r>
                <w:rPr>
                  <w:rStyle w:val="Hyperlink"/>
                  <w:sz w:val="20"/>
                  <w:szCs w:val="20"/>
                  <w:lang w:val="en"/>
                </w:rPr>
                <w:t>Mieszkaniowa</w:t>
              </w:r>
              <w:proofErr w:type="spellEnd"/>
              <w:r>
                <w:rPr>
                  <w:rStyle w:val="Hyperlink"/>
                  <w:sz w:val="20"/>
                  <w:szCs w:val="20"/>
                  <w:lang w:val="en"/>
                </w:rPr>
                <w:t xml:space="preserve"> w </w:t>
              </w:r>
              <w:proofErr w:type="spellStart"/>
              <w:r>
                <w:rPr>
                  <w:rStyle w:val="Hyperlink"/>
                  <w:sz w:val="20"/>
                  <w:szCs w:val="20"/>
                  <w:lang w:val="en"/>
                </w:rPr>
                <w:t>Warszawie</w:t>
              </w:r>
              <w:proofErr w:type="spellEnd"/>
            </w:hyperlink>
            <w:r w:rsidRPr="00CD66EB">
              <w:rPr>
                <w:sz w:val="20"/>
                <w:szCs w:val="20"/>
                <w:lang w:val="en-GB"/>
              </w:rPr>
              <w:t xml:space="preserve"> on </w:t>
            </w:r>
            <w:r>
              <w:rPr>
                <w:sz w:val="20"/>
                <w:szCs w:val="20"/>
                <w:lang w:val="en"/>
              </w:rPr>
              <w:t>the VAT treatment of charges by a landlord to a tenant for electricity, heating, water and waste disposal supplied by a third party. The CJEU clarified that the letting of immovable property and the provision of water, electricity and heating as well as waste collection accompanying that letting should normally be regarded as distinct and independent supplies that may require a separate VAT treatment, unless the elements of the transaction are so closely linked that they form a single, indivisible economic supply, which is for the national court to decide.</w:t>
            </w:r>
          </w:p>
          <w:p w:rsidR="00CD66EB" w:rsidRDefault="00CD66EB">
            <w:pPr>
              <w:pStyle w:val="Lijstalinea"/>
              <w:spacing w:line="276" w:lineRule="auto"/>
              <w:rPr>
                <w:sz w:val="20"/>
                <w:szCs w:val="20"/>
                <w:lang w:val="en"/>
              </w:rPr>
            </w:pPr>
          </w:p>
          <w:p w:rsidR="00CD66EB" w:rsidRDefault="00CD66EB">
            <w:pPr>
              <w:pStyle w:val="Lijstalinea"/>
              <w:spacing w:line="276" w:lineRule="auto"/>
              <w:ind w:left="1068" w:hanging="360"/>
              <w:rPr>
                <w:sz w:val="20"/>
                <w:szCs w:val="20"/>
                <w:lang w:val="fr-BE"/>
              </w:rPr>
            </w:pPr>
            <w:r>
              <w:rPr>
                <w:sz w:val="20"/>
                <w:szCs w:val="20"/>
                <w:lang w:val="fr-BE"/>
              </w:rPr>
              <w:t>-</w:t>
            </w:r>
            <w:r>
              <w:rPr>
                <w:rFonts w:ascii="Times New Roman" w:hAnsi="Times New Roman"/>
                <w:sz w:val="14"/>
                <w:szCs w:val="14"/>
                <w:lang w:val="fr-BE"/>
              </w:rPr>
              <w:t xml:space="preserve">          </w:t>
            </w:r>
            <w:hyperlink r:id="rId9" w:history="1">
              <w:proofErr w:type="spellStart"/>
              <w:r>
                <w:rPr>
                  <w:rStyle w:val="Hyperlink"/>
                  <w:sz w:val="20"/>
                  <w:szCs w:val="20"/>
                  <w:lang w:val="fr-BE"/>
                </w:rPr>
                <w:t>Judgment</w:t>
              </w:r>
              <w:proofErr w:type="spellEnd"/>
            </w:hyperlink>
            <w:r>
              <w:rPr>
                <w:sz w:val="20"/>
                <w:szCs w:val="20"/>
                <w:lang w:val="fr-BE"/>
              </w:rPr>
              <w:t xml:space="preserve">: EN (all EU </w:t>
            </w:r>
            <w:proofErr w:type="spellStart"/>
            <w:r>
              <w:rPr>
                <w:sz w:val="20"/>
                <w:szCs w:val="20"/>
                <w:lang w:val="fr-BE"/>
              </w:rPr>
              <w:t>languages</w:t>
            </w:r>
            <w:proofErr w:type="spellEnd"/>
            <w:r>
              <w:rPr>
                <w:sz w:val="20"/>
                <w:szCs w:val="20"/>
                <w:lang w:val="fr-BE"/>
              </w:rPr>
              <w:t>)</w:t>
            </w:r>
          </w:p>
          <w:p w:rsidR="00CD66EB" w:rsidRDefault="00CD66EB">
            <w:pPr>
              <w:pStyle w:val="Lijstalinea"/>
              <w:spacing w:line="276" w:lineRule="auto"/>
              <w:rPr>
                <w:sz w:val="20"/>
                <w:szCs w:val="20"/>
                <w:lang w:val="fr-BE"/>
              </w:rPr>
            </w:pPr>
          </w:p>
          <w:p w:rsidR="00CD66EB" w:rsidRDefault="00CD66EB">
            <w:pPr>
              <w:pStyle w:val="Lijstalinea"/>
              <w:spacing w:line="276" w:lineRule="auto"/>
              <w:rPr>
                <w:sz w:val="20"/>
                <w:szCs w:val="20"/>
                <w:lang w:val="fr-BE"/>
              </w:rPr>
            </w:pPr>
          </w:p>
          <w:p w:rsidR="00CD66EB" w:rsidRDefault="00CD66EB">
            <w:pPr>
              <w:pStyle w:val="Lijstalinea"/>
              <w:spacing w:line="276" w:lineRule="auto"/>
              <w:ind w:hanging="360"/>
              <w:rPr>
                <w:b/>
                <w:bCs/>
                <w:sz w:val="20"/>
                <w:szCs w:val="20"/>
                <w:lang w:val="en"/>
              </w:rPr>
            </w:pPr>
            <w:r>
              <w:rPr>
                <w:b/>
                <w:bCs/>
                <w:sz w:val="20"/>
                <w:szCs w:val="20"/>
                <w:lang w:val="en"/>
              </w:rPr>
              <w:t>3.</w:t>
            </w:r>
            <w:r>
              <w:rPr>
                <w:rFonts w:ascii="Times New Roman" w:hAnsi="Times New Roman"/>
                <w:b/>
                <w:bCs/>
                <w:sz w:val="14"/>
                <w:szCs w:val="14"/>
                <w:lang w:val="en"/>
              </w:rPr>
              <w:t xml:space="preserve">       </w:t>
            </w:r>
            <w:r>
              <w:rPr>
                <w:b/>
                <w:bCs/>
                <w:sz w:val="20"/>
                <w:szCs w:val="20"/>
                <w:lang w:val="en"/>
              </w:rPr>
              <w:t>CJEU rules on Romanian motor vehicle registration tax exemption</w:t>
            </w:r>
          </w:p>
          <w:p w:rsidR="00CD66EB" w:rsidRDefault="00CD66EB">
            <w:pPr>
              <w:spacing w:line="276" w:lineRule="auto"/>
              <w:rPr>
                <w:sz w:val="20"/>
                <w:szCs w:val="20"/>
                <w:lang w:val="en"/>
              </w:rPr>
            </w:pPr>
          </w:p>
          <w:p w:rsidR="00CD66EB" w:rsidRPr="00CD66EB" w:rsidRDefault="00CD66EB">
            <w:pPr>
              <w:spacing w:line="276" w:lineRule="auto"/>
              <w:ind w:left="426"/>
              <w:rPr>
                <w:sz w:val="20"/>
                <w:szCs w:val="20"/>
                <w:lang w:val="en-GB"/>
              </w:rPr>
            </w:pPr>
            <w:r>
              <w:rPr>
                <w:sz w:val="20"/>
                <w:szCs w:val="20"/>
                <w:lang w:val="en"/>
              </w:rPr>
              <w:t xml:space="preserve">On 14 April 2015, the CJEU decided in the preliminary ruling case C-76/14, </w:t>
            </w:r>
            <w:proofErr w:type="spellStart"/>
            <w:r>
              <w:rPr>
                <w:sz w:val="20"/>
                <w:szCs w:val="20"/>
                <w:lang w:val="en"/>
              </w:rPr>
              <w:t>Manea</w:t>
            </w:r>
            <w:proofErr w:type="spellEnd"/>
            <w:r>
              <w:rPr>
                <w:sz w:val="20"/>
                <w:szCs w:val="20"/>
                <w:lang w:val="en"/>
              </w:rPr>
              <w:t xml:space="preserve">, that Romania can impose a tax on </w:t>
            </w:r>
            <w:r w:rsidRPr="00CD66EB">
              <w:rPr>
                <w:sz w:val="20"/>
                <w:szCs w:val="20"/>
                <w:lang w:val="en-GB"/>
              </w:rPr>
              <w:t xml:space="preserve">imported second-hand </w:t>
            </w:r>
            <w:r>
              <w:rPr>
                <w:sz w:val="20"/>
                <w:szCs w:val="20"/>
                <w:lang w:val="en"/>
              </w:rPr>
              <w:t xml:space="preserve">motor vehicles </w:t>
            </w:r>
            <w:r w:rsidRPr="00CD66EB">
              <w:rPr>
                <w:sz w:val="20"/>
                <w:szCs w:val="20"/>
                <w:lang w:val="en-GB"/>
              </w:rPr>
              <w:t>at the time of their first registration in Romania and on vehicles already registered in the country at the time of the first transfer of the ownership within Romania. It is however not possible to exempt from this tax already registered vehicles for which a tax previously in force but found to be incompatible with EU law has been paid, as such exemption would favour non-imported second hand vehicles over imported ones.</w:t>
            </w:r>
          </w:p>
          <w:p w:rsidR="00CD66EB" w:rsidRDefault="00CD66EB">
            <w:pPr>
              <w:spacing w:line="276" w:lineRule="auto"/>
              <w:ind w:left="709"/>
              <w:rPr>
                <w:sz w:val="20"/>
                <w:szCs w:val="20"/>
                <w:lang w:val="en"/>
              </w:rPr>
            </w:pPr>
          </w:p>
          <w:p w:rsidR="00CD66EB" w:rsidRDefault="00CD66EB">
            <w:pPr>
              <w:spacing w:line="276" w:lineRule="auto"/>
              <w:ind w:left="993" w:hanging="284"/>
              <w:rPr>
                <w:sz w:val="20"/>
                <w:szCs w:val="20"/>
                <w:lang w:val="fr-BE"/>
              </w:rPr>
            </w:pPr>
            <w:r>
              <w:rPr>
                <w:sz w:val="20"/>
                <w:szCs w:val="20"/>
                <w:lang w:val="fr-BE"/>
              </w:rPr>
              <w:t>-</w:t>
            </w:r>
            <w:proofErr w:type="spellStart"/>
            <w:r>
              <w:rPr>
                <w:sz w:val="20"/>
                <w:szCs w:val="20"/>
              </w:rPr>
              <w:fldChar w:fldCharType="begin"/>
            </w:r>
            <w:r w:rsidRPr="00CD66EB">
              <w:rPr>
                <w:sz w:val="20"/>
                <w:szCs w:val="20"/>
                <w:lang w:val="en-GB"/>
              </w:rPr>
              <w:instrText xml:space="preserve"> HYPERLINK "http://curia.europa.eu/juris/document/document.jsf?text=&amp;docid=163660&amp;pageIndex=0&amp;doclang=EN&amp;mode=lst&amp;dir=&amp;occ=first&amp;part=1&amp;cid=96535" </w:instrText>
            </w:r>
            <w:r>
              <w:rPr>
                <w:sz w:val="20"/>
                <w:szCs w:val="20"/>
              </w:rPr>
              <w:fldChar w:fldCharType="separate"/>
            </w:r>
            <w:r>
              <w:rPr>
                <w:rStyle w:val="Hyperlink"/>
                <w:sz w:val="20"/>
                <w:szCs w:val="20"/>
                <w:lang w:val="fr-BE"/>
              </w:rPr>
              <w:t>Judgment</w:t>
            </w:r>
            <w:proofErr w:type="spellEnd"/>
            <w:r>
              <w:rPr>
                <w:sz w:val="20"/>
                <w:szCs w:val="20"/>
              </w:rPr>
              <w:fldChar w:fldCharType="end"/>
            </w:r>
            <w:r>
              <w:rPr>
                <w:sz w:val="20"/>
                <w:szCs w:val="20"/>
                <w:lang w:val="fr-BE"/>
              </w:rPr>
              <w:t xml:space="preserve">: EN (all EU </w:t>
            </w:r>
            <w:proofErr w:type="spellStart"/>
            <w:r>
              <w:rPr>
                <w:sz w:val="20"/>
                <w:szCs w:val="20"/>
                <w:lang w:val="fr-BE"/>
              </w:rPr>
              <w:t>languages</w:t>
            </w:r>
            <w:proofErr w:type="spellEnd"/>
            <w:r>
              <w:rPr>
                <w:sz w:val="20"/>
                <w:szCs w:val="20"/>
                <w:lang w:val="fr-BE"/>
              </w:rPr>
              <w:t>)</w:t>
            </w:r>
          </w:p>
          <w:p w:rsidR="00CD66EB" w:rsidRPr="00CD66EB" w:rsidRDefault="00CD66EB">
            <w:pPr>
              <w:spacing w:line="276" w:lineRule="auto"/>
              <w:ind w:left="993" w:hanging="284"/>
              <w:rPr>
                <w:sz w:val="20"/>
                <w:szCs w:val="20"/>
                <w:lang w:val="en-GB"/>
              </w:rPr>
            </w:pPr>
            <w:r w:rsidRPr="00CD66EB">
              <w:rPr>
                <w:sz w:val="20"/>
                <w:szCs w:val="20"/>
                <w:lang w:val="en-GB"/>
              </w:rPr>
              <w:t xml:space="preserve">- Advocate-General </w:t>
            </w:r>
            <w:hyperlink r:id="rId10" w:history="1">
              <w:r w:rsidRPr="00CD66EB">
                <w:rPr>
                  <w:rStyle w:val="Hyperlink"/>
                  <w:sz w:val="20"/>
                  <w:szCs w:val="20"/>
                  <w:lang w:val="en-GB"/>
                </w:rPr>
                <w:t>Opinion </w:t>
              </w:r>
            </w:hyperlink>
            <w:r w:rsidRPr="00CD66EB">
              <w:rPr>
                <w:sz w:val="20"/>
                <w:szCs w:val="20"/>
                <w:lang w:val="en-GB"/>
              </w:rPr>
              <w:t>: EN (all EU languages)</w:t>
            </w:r>
          </w:p>
          <w:p w:rsidR="00CD66EB" w:rsidRPr="00CD66EB" w:rsidRDefault="00CD66EB">
            <w:pPr>
              <w:pStyle w:val="Lijstalinea"/>
              <w:spacing w:line="276" w:lineRule="auto"/>
              <w:rPr>
                <w:sz w:val="20"/>
                <w:szCs w:val="20"/>
                <w:lang w:val="en-GB"/>
              </w:rPr>
            </w:pPr>
          </w:p>
          <w:p w:rsidR="00CD66EB" w:rsidRPr="00CD66EB" w:rsidRDefault="00CD66EB">
            <w:pPr>
              <w:pStyle w:val="Lijstalinea"/>
              <w:spacing w:line="276" w:lineRule="auto"/>
              <w:rPr>
                <w:sz w:val="20"/>
                <w:szCs w:val="20"/>
                <w:lang w:val="en-GB"/>
              </w:rPr>
            </w:pPr>
          </w:p>
          <w:p w:rsidR="00CD66EB" w:rsidRPr="00CD66EB" w:rsidRDefault="00CD66EB">
            <w:pPr>
              <w:spacing w:line="276" w:lineRule="auto"/>
              <w:jc w:val="center"/>
              <w:rPr>
                <w:sz w:val="20"/>
                <w:szCs w:val="20"/>
                <w:lang w:val="en-GB"/>
              </w:rPr>
            </w:pPr>
            <w:r w:rsidRPr="00CD66EB">
              <w:rPr>
                <w:sz w:val="20"/>
                <w:szCs w:val="20"/>
                <w:lang w:val="en-GB"/>
              </w:rPr>
              <w:t>*****</w:t>
            </w:r>
          </w:p>
          <w:p w:rsidR="00CD66EB" w:rsidRPr="00CD66EB" w:rsidRDefault="00CD66EB">
            <w:pPr>
              <w:spacing w:line="276" w:lineRule="auto"/>
              <w:jc w:val="both"/>
              <w:rPr>
                <w:sz w:val="20"/>
                <w:szCs w:val="20"/>
                <w:lang w:val="en-GB"/>
              </w:rPr>
            </w:pPr>
          </w:p>
          <w:p w:rsidR="00CD66EB" w:rsidRPr="00CD66EB" w:rsidRDefault="00CD66EB">
            <w:pPr>
              <w:spacing w:line="276" w:lineRule="auto"/>
              <w:ind w:left="126"/>
              <w:jc w:val="center"/>
              <w:rPr>
                <w:i/>
                <w:iCs/>
                <w:sz w:val="20"/>
                <w:szCs w:val="20"/>
                <w:lang w:val="en-GB"/>
              </w:rPr>
            </w:pPr>
            <w:r w:rsidRPr="00CD66EB">
              <w:rPr>
                <w:i/>
                <w:iCs/>
                <w:sz w:val="20"/>
                <w:szCs w:val="20"/>
                <w:lang w:val="en-GB"/>
              </w:rPr>
              <w:t xml:space="preserve">The selection of the remitted material has been prepared by </w:t>
            </w:r>
            <w:proofErr w:type="spellStart"/>
            <w:r w:rsidRPr="00CD66EB">
              <w:rPr>
                <w:i/>
                <w:iCs/>
                <w:sz w:val="20"/>
                <w:szCs w:val="20"/>
                <w:lang w:val="en-GB"/>
              </w:rPr>
              <w:t>Piergiorgio</w:t>
            </w:r>
            <w:proofErr w:type="spellEnd"/>
            <w:r w:rsidRPr="00CD66EB">
              <w:rPr>
                <w:i/>
                <w:iCs/>
                <w:sz w:val="20"/>
                <w:szCs w:val="20"/>
                <w:lang w:val="en-GB"/>
              </w:rPr>
              <w:t xml:space="preserve"> Valente / </w:t>
            </w:r>
            <w:proofErr w:type="spellStart"/>
            <w:r w:rsidRPr="00CD66EB">
              <w:rPr>
                <w:i/>
                <w:iCs/>
                <w:sz w:val="20"/>
                <w:szCs w:val="20"/>
                <w:lang w:val="en-GB"/>
              </w:rPr>
              <w:t>Filipa</w:t>
            </w:r>
            <w:proofErr w:type="spellEnd"/>
            <w:r w:rsidRPr="00CD66EB">
              <w:rPr>
                <w:i/>
                <w:iCs/>
                <w:sz w:val="20"/>
                <w:szCs w:val="20"/>
                <w:lang w:val="en-GB"/>
              </w:rPr>
              <w:t xml:space="preserve"> </w:t>
            </w:r>
            <w:proofErr w:type="spellStart"/>
            <w:r w:rsidRPr="00CD66EB">
              <w:rPr>
                <w:i/>
                <w:iCs/>
                <w:sz w:val="20"/>
                <w:szCs w:val="20"/>
                <w:lang w:val="en-GB"/>
              </w:rPr>
              <w:t>Correia</w:t>
            </w:r>
            <w:proofErr w:type="spellEnd"/>
            <w:r w:rsidRPr="00CD66EB">
              <w:rPr>
                <w:i/>
                <w:iCs/>
                <w:sz w:val="20"/>
                <w:szCs w:val="20"/>
                <w:lang w:val="en-GB"/>
              </w:rPr>
              <w:t xml:space="preserve"> / Rudolf </w:t>
            </w:r>
            <w:proofErr w:type="spellStart"/>
            <w:r w:rsidRPr="00CD66EB">
              <w:rPr>
                <w:i/>
                <w:iCs/>
                <w:sz w:val="20"/>
                <w:szCs w:val="20"/>
                <w:lang w:val="en-GB"/>
              </w:rPr>
              <w:t>Reibel</w:t>
            </w:r>
            <w:proofErr w:type="spellEnd"/>
          </w:p>
          <w:p w:rsidR="00CD66EB" w:rsidRPr="00CD66EB" w:rsidRDefault="00CD66EB">
            <w:pPr>
              <w:spacing w:line="276" w:lineRule="auto"/>
              <w:ind w:left="126"/>
              <w:jc w:val="center"/>
              <w:rPr>
                <w:i/>
                <w:iCs/>
                <w:sz w:val="20"/>
                <w:szCs w:val="20"/>
                <w:lang w:val="en-GB"/>
              </w:rPr>
            </w:pPr>
          </w:p>
          <w:p w:rsidR="00CD66EB" w:rsidRPr="00CD66EB" w:rsidRDefault="00CD66EB">
            <w:pPr>
              <w:spacing w:line="276" w:lineRule="auto"/>
              <w:ind w:left="126"/>
              <w:jc w:val="center"/>
              <w:rPr>
                <w:color w:val="0000FF"/>
                <w:u w:val="single"/>
                <w:lang w:val="en-GB" w:eastAsia="fr-BE"/>
              </w:rPr>
            </w:pPr>
            <w:hyperlink r:id="rId11" w:history="1">
              <w:r w:rsidRPr="00CD66EB">
                <w:rPr>
                  <w:rStyle w:val="Hyperlink"/>
                  <w:i/>
                  <w:iCs/>
                  <w:sz w:val="20"/>
                  <w:szCs w:val="20"/>
                  <w:lang w:val="en-GB"/>
                </w:rPr>
                <w:t>www.cfe-eutax.org</w:t>
              </w:r>
            </w:hyperlink>
          </w:p>
          <w:p w:rsidR="00CD66EB" w:rsidRPr="00CD66EB" w:rsidRDefault="00CD66EB">
            <w:pPr>
              <w:spacing w:line="276" w:lineRule="auto"/>
              <w:ind w:left="126"/>
              <w:jc w:val="center"/>
              <w:rPr>
                <w:i/>
                <w:iCs/>
                <w:color w:val="0000FF"/>
                <w:sz w:val="20"/>
                <w:szCs w:val="20"/>
                <w:u w:val="single"/>
                <w:lang w:val="en-GB"/>
              </w:rPr>
            </w:pPr>
          </w:p>
          <w:p w:rsidR="00CD66EB" w:rsidRDefault="00CD66EB">
            <w:pPr>
              <w:spacing w:line="276" w:lineRule="auto"/>
              <w:ind w:left="126"/>
              <w:jc w:val="center"/>
              <w:rPr>
                <w:lang w:val="en-US" w:eastAsia="fr-BE"/>
              </w:rPr>
            </w:pPr>
            <w:r>
              <w:rPr>
                <w:i/>
                <w:iCs/>
                <w:sz w:val="20"/>
                <w:szCs w:val="20"/>
                <w:lang w:val="en-US"/>
              </w:rPr>
              <w:t>Follow us on</w:t>
            </w:r>
            <w:r>
              <w:rPr>
                <w:i/>
                <w:iCs/>
                <w:color w:val="FF0000"/>
                <w:sz w:val="20"/>
                <w:szCs w:val="20"/>
                <w:lang w:val="en-US"/>
              </w:rPr>
              <w:t xml:space="preserve"> </w:t>
            </w:r>
            <w:hyperlink r:id="rId12" w:history="1">
              <w:r>
                <w:rPr>
                  <w:rStyle w:val="Hyperlink"/>
                  <w:sz w:val="20"/>
                  <w:szCs w:val="20"/>
                  <w:lang w:val="en-US"/>
                </w:rPr>
                <w:t>Linked in</w:t>
              </w:r>
            </w:hyperlink>
            <w:r w:rsidRPr="00CD66EB">
              <w:rPr>
                <w:sz w:val="20"/>
                <w:szCs w:val="20"/>
                <w:lang w:val="en-GB"/>
              </w:rPr>
              <w:t xml:space="preserve"> </w:t>
            </w:r>
            <w:r>
              <w:rPr>
                <w:noProof/>
                <w:sz w:val="20"/>
                <w:szCs w:val="20"/>
                <w:lang w:eastAsia="nl-NL"/>
              </w:rPr>
              <w:drawing>
                <wp:inline distT="0" distB="0" distL="0" distR="0" wp14:anchorId="17086D74" wp14:editId="395BC5EB">
                  <wp:extent cx="200025" cy="190500"/>
                  <wp:effectExtent l="0" t="0" r="0" b="0"/>
                  <wp:docPr id="1" name="Afbeelding 1" descr="cid:image002.png@01D05A62.500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5A62.500B7F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66EB">
              <w:rPr>
                <w:i/>
                <w:iCs/>
                <w:sz w:val="20"/>
                <w:szCs w:val="20"/>
                <w:lang w:val="en-GB"/>
              </w:rPr>
              <w:t> </w:t>
            </w:r>
          </w:p>
        </w:tc>
      </w:tr>
    </w:tbl>
    <w:p w:rsidR="00CD66EB" w:rsidRPr="00CD66EB" w:rsidRDefault="00CD66EB" w:rsidP="00CD66EB">
      <w:pPr>
        <w:rPr>
          <w:lang w:val="en-GB"/>
        </w:rPr>
      </w:pPr>
      <w:bookmarkStart w:id="0" w:name="_GoBack"/>
      <w:bookmarkEnd w:id="0"/>
    </w:p>
    <w:sectPr w:rsidR="00CD66EB" w:rsidRPr="00CD66EB" w:rsidSect="00CD66EB">
      <w:pgSz w:w="11906" w:h="16838"/>
      <w:pgMar w:top="284"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EB"/>
    <w:rsid w:val="0034021B"/>
    <w:rsid w:val="00534B01"/>
    <w:rsid w:val="0058530F"/>
    <w:rsid w:val="005A0F49"/>
    <w:rsid w:val="00662C07"/>
    <w:rsid w:val="006B4AB1"/>
    <w:rsid w:val="00746E48"/>
    <w:rsid w:val="007D6243"/>
    <w:rsid w:val="007E3688"/>
    <w:rsid w:val="00990E16"/>
    <w:rsid w:val="009B5221"/>
    <w:rsid w:val="00A02001"/>
    <w:rsid w:val="00A43220"/>
    <w:rsid w:val="00CD294B"/>
    <w:rsid w:val="00CD66EB"/>
    <w:rsid w:val="00E10EAE"/>
    <w:rsid w:val="00E306C0"/>
    <w:rsid w:val="00EF7285"/>
    <w:rsid w:val="00FA7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NOB Standaard"/>
    <w:qFormat/>
    <w:rsid w:val="00CD66EB"/>
    <w:pPr>
      <w:jc w:val="left"/>
    </w:pPr>
    <w:rPr>
      <w:rFonts w:ascii="Calibri" w:hAnsi="Calibri" w:cs="Times New Roman"/>
      <w:sz w:val="22"/>
    </w:rPr>
  </w:style>
  <w:style w:type="paragraph" w:styleId="Kop1">
    <w:name w:val="heading 1"/>
    <w:aliases w:val="NOB Kop"/>
    <w:basedOn w:val="Standaard"/>
    <w:next w:val="Standaard"/>
    <w:link w:val="Kop1Char"/>
    <w:uiPriority w:val="9"/>
    <w:qFormat/>
    <w:rsid w:val="00A43220"/>
    <w:pPr>
      <w:jc w:val="both"/>
      <w:outlineLvl w:val="0"/>
    </w:pPr>
    <w:rPr>
      <w:rFonts w:ascii="Times New Roman" w:eastAsiaTheme="majorEastAsia" w:hAnsi="Times New Roman" w:cstheme="majorBidi"/>
      <w:b/>
      <w:bCs/>
      <w:sz w:val="24"/>
      <w:szCs w:val="28"/>
    </w:rPr>
  </w:style>
  <w:style w:type="paragraph" w:styleId="Kop2">
    <w:name w:val="heading 2"/>
    <w:aliases w:val="NOB subkoppen"/>
    <w:basedOn w:val="Standaard"/>
    <w:next w:val="Standaard"/>
    <w:link w:val="Kop2Char"/>
    <w:uiPriority w:val="9"/>
    <w:semiHidden/>
    <w:unhideWhenUsed/>
    <w:qFormat/>
    <w:rsid w:val="00A43220"/>
    <w:pPr>
      <w:keepNext/>
      <w:keepLines/>
      <w:jc w:val="both"/>
      <w:outlineLvl w:val="1"/>
    </w:pPr>
    <w:rPr>
      <w:rFonts w:ascii="Times New Roman" w:eastAsiaTheme="majorEastAsia" w:hAnsi="Times New Roman"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NOB Kop Char"/>
    <w:basedOn w:val="Standaardalinea-lettertype"/>
    <w:link w:val="Kop1"/>
    <w:uiPriority w:val="9"/>
    <w:rsid w:val="00A43220"/>
    <w:rPr>
      <w:rFonts w:eastAsiaTheme="majorEastAsia" w:cstheme="majorBidi"/>
      <w:b/>
      <w:bCs/>
      <w:szCs w:val="28"/>
    </w:rPr>
  </w:style>
  <w:style w:type="character" w:customStyle="1" w:styleId="Kop2Char">
    <w:name w:val="Kop 2 Char"/>
    <w:aliases w:val="NOB subkoppen Char"/>
    <w:basedOn w:val="Standaardalinea-lettertype"/>
    <w:link w:val="Kop2"/>
    <w:uiPriority w:val="9"/>
    <w:semiHidden/>
    <w:rsid w:val="00A43220"/>
    <w:rPr>
      <w:rFonts w:eastAsiaTheme="majorEastAsia" w:cstheme="majorBidi"/>
      <w:b/>
      <w:bCs/>
      <w:szCs w:val="26"/>
    </w:rPr>
  </w:style>
  <w:style w:type="paragraph" w:styleId="Titel">
    <w:name w:val="Title"/>
    <w:aliases w:val="NOB sub-subkoppen"/>
    <w:basedOn w:val="Standaard"/>
    <w:next w:val="Standaard"/>
    <w:link w:val="TitelChar"/>
    <w:uiPriority w:val="10"/>
    <w:qFormat/>
    <w:rsid w:val="00A43220"/>
    <w:pPr>
      <w:contextualSpacing/>
      <w:jc w:val="both"/>
    </w:pPr>
    <w:rPr>
      <w:rFonts w:ascii="Times New Roman" w:eastAsiaTheme="majorEastAsia" w:hAnsi="Times New Roman" w:cstheme="majorBidi"/>
      <w:i/>
      <w:color w:val="000000" w:themeColor="text1"/>
      <w:sz w:val="24"/>
      <w:szCs w:val="52"/>
    </w:rPr>
  </w:style>
  <w:style w:type="character" w:customStyle="1" w:styleId="TitelChar">
    <w:name w:val="Titel Char"/>
    <w:aliases w:val="NOB sub-subkoppen Char"/>
    <w:basedOn w:val="Standaardalinea-lettertype"/>
    <w:link w:val="Titel"/>
    <w:uiPriority w:val="10"/>
    <w:rsid w:val="00A43220"/>
    <w:rPr>
      <w:rFonts w:eastAsiaTheme="majorEastAsia" w:cstheme="majorBidi"/>
      <w:i/>
      <w:color w:val="000000" w:themeColor="text1"/>
      <w:szCs w:val="52"/>
    </w:rPr>
  </w:style>
  <w:style w:type="character" w:styleId="Hyperlink">
    <w:name w:val="Hyperlink"/>
    <w:basedOn w:val="Standaardalinea-lettertype"/>
    <w:uiPriority w:val="99"/>
    <w:semiHidden/>
    <w:unhideWhenUsed/>
    <w:rsid w:val="00CD66EB"/>
    <w:rPr>
      <w:color w:val="0000FF"/>
      <w:u w:val="single"/>
    </w:rPr>
  </w:style>
  <w:style w:type="paragraph" w:styleId="Lijstalinea">
    <w:name w:val="List Paragraph"/>
    <w:basedOn w:val="Standaard"/>
    <w:uiPriority w:val="34"/>
    <w:qFormat/>
    <w:rsid w:val="00CD66EB"/>
    <w:pPr>
      <w:ind w:left="720"/>
    </w:pPr>
    <w:rPr>
      <w:lang w:eastAsia="fr-BE"/>
    </w:rPr>
  </w:style>
  <w:style w:type="paragraph" w:styleId="Ballontekst">
    <w:name w:val="Balloon Text"/>
    <w:basedOn w:val="Standaard"/>
    <w:link w:val="BallontekstChar"/>
    <w:uiPriority w:val="99"/>
    <w:semiHidden/>
    <w:unhideWhenUsed/>
    <w:rsid w:val="00CD66EB"/>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NOB Standaard"/>
    <w:qFormat/>
    <w:rsid w:val="00CD66EB"/>
    <w:pPr>
      <w:jc w:val="left"/>
    </w:pPr>
    <w:rPr>
      <w:rFonts w:ascii="Calibri" w:hAnsi="Calibri" w:cs="Times New Roman"/>
      <w:sz w:val="22"/>
    </w:rPr>
  </w:style>
  <w:style w:type="paragraph" w:styleId="Kop1">
    <w:name w:val="heading 1"/>
    <w:aliases w:val="NOB Kop"/>
    <w:basedOn w:val="Standaard"/>
    <w:next w:val="Standaard"/>
    <w:link w:val="Kop1Char"/>
    <w:uiPriority w:val="9"/>
    <w:qFormat/>
    <w:rsid w:val="00A43220"/>
    <w:pPr>
      <w:jc w:val="both"/>
      <w:outlineLvl w:val="0"/>
    </w:pPr>
    <w:rPr>
      <w:rFonts w:ascii="Times New Roman" w:eastAsiaTheme="majorEastAsia" w:hAnsi="Times New Roman" w:cstheme="majorBidi"/>
      <w:b/>
      <w:bCs/>
      <w:sz w:val="24"/>
      <w:szCs w:val="28"/>
    </w:rPr>
  </w:style>
  <w:style w:type="paragraph" w:styleId="Kop2">
    <w:name w:val="heading 2"/>
    <w:aliases w:val="NOB subkoppen"/>
    <w:basedOn w:val="Standaard"/>
    <w:next w:val="Standaard"/>
    <w:link w:val="Kop2Char"/>
    <w:uiPriority w:val="9"/>
    <w:semiHidden/>
    <w:unhideWhenUsed/>
    <w:qFormat/>
    <w:rsid w:val="00A43220"/>
    <w:pPr>
      <w:keepNext/>
      <w:keepLines/>
      <w:jc w:val="both"/>
      <w:outlineLvl w:val="1"/>
    </w:pPr>
    <w:rPr>
      <w:rFonts w:ascii="Times New Roman" w:eastAsiaTheme="majorEastAsia" w:hAnsi="Times New Roman"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NOB Kop Char"/>
    <w:basedOn w:val="Standaardalinea-lettertype"/>
    <w:link w:val="Kop1"/>
    <w:uiPriority w:val="9"/>
    <w:rsid w:val="00A43220"/>
    <w:rPr>
      <w:rFonts w:eastAsiaTheme="majorEastAsia" w:cstheme="majorBidi"/>
      <w:b/>
      <w:bCs/>
      <w:szCs w:val="28"/>
    </w:rPr>
  </w:style>
  <w:style w:type="character" w:customStyle="1" w:styleId="Kop2Char">
    <w:name w:val="Kop 2 Char"/>
    <w:aliases w:val="NOB subkoppen Char"/>
    <w:basedOn w:val="Standaardalinea-lettertype"/>
    <w:link w:val="Kop2"/>
    <w:uiPriority w:val="9"/>
    <w:semiHidden/>
    <w:rsid w:val="00A43220"/>
    <w:rPr>
      <w:rFonts w:eastAsiaTheme="majorEastAsia" w:cstheme="majorBidi"/>
      <w:b/>
      <w:bCs/>
      <w:szCs w:val="26"/>
    </w:rPr>
  </w:style>
  <w:style w:type="paragraph" w:styleId="Titel">
    <w:name w:val="Title"/>
    <w:aliases w:val="NOB sub-subkoppen"/>
    <w:basedOn w:val="Standaard"/>
    <w:next w:val="Standaard"/>
    <w:link w:val="TitelChar"/>
    <w:uiPriority w:val="10"/>
    <w:qFormat/>
    <w:rsid w:val="00A43220"/>
    <w:pPr>
      <w:contextualSpacing/>
      <w:jc w:val="both"/>
    </w:pPr>
    <w:rPr>
      <w:rFonts w:ascii="Times New Roman" w:eastAsiaTheme="majorEastAsia" w:hAnsi="Times New Roman" w:cstheme="majorBidi"/>
      <w:i/>
      <w:color w:val="000000" w:themeColor="text1"/>
      <w:sz w:val="24"/>
      <w:szCs w:val="52"/>
    </w:rPr>
  </w:style>
  <w:style w:type="character" w:customStyle="1" w:styleId="TitelChar">
    <w:name w:val="Titel Char"/>
    <w:aliases w:val="NOB sub-subkoppen Char"/>
    <w:basedOn w:val="Standaardalinea-lettertype"/>
    <w:link w:val="Titel"/>
    <w:uiPriority w:val="10"/>
    <w:rsid w:val="00A43220"/>
    <w:rPr>
      <w:rFonts w:eastAsiaTheme="majorEastAsia" w:cstheme="majorBidi"/>
      <w:i/>
      <w:color w:val="000000" w:themeColor="text1"/>
      <w:szCs w:val="52"/>
    </w:rPr>
  </w:style>
  <w:style w:type="character" w:styleId="Hyperlink">
    <w:name w:val="Hyperlink"/>
    <w:basedOn w:val="Standaardalinea-lettertype"/>
    <w:uiPriority w:val="99"/>
    <w:semiHidden/>
    <w:unhideWhenUsed/>
    <w:rsid w:val="00CD66EB"/>
    <w:rPr>
      <w:color w:val="0000FF"/>
      <w:u w:val="single"/>
    </w:rPr>
  </w:style>
  <w:style w:type="paragraph" w:styleId="Lijstalinea">
    <w:name w:val="List Paragraph"/>
    <w:basedOn w:val="Standaard"/>
    <w:uiPriority w:val="34"/>
    <w:qFormat/>
    <w:rsid w:val="00CD66EB"/>
    <w:pPr>
      <w:ind w:left="720"/>
    </w:pPr>
    <w:rPr>
      <w:lang w:eastAsia="fr-BE"/>
    </w:rPr>
  </w:style>
  <w:style w:type="paragraph" w:styleId="Ballontekst">
    <w:name w:val="Balloon Text"/>
    <w:basedOn w:val="Standaard"/>
    <w:link w:val="BallontekstChar"/>
    <w:uiPriority w:val="99"/>
    <w:semiHidden/>
    <w:unhideWhenUsed/>
    <w:rsid w:val="00CD66EB"/>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oi.tt/1azIBHu"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curia.europa.eu/juris/document/document.jsf?text=&amp;docid=163710&amp;pageIndex=0&amp;doclang=EN&amp;mode=lst&amp;dir=&amp;occ=first&amp;part=1&amp;cid=92578" TargetMode="External"/><Relationship Id="rId12" Type="http://schemas.openxmlformats.org/officeDocument/2006/relationships/hyperlink" Target="http://www.linkedin.com/company/confederation-fiscal-europeene?trk=company_nam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3.jpg@01D07B83.A5483750" TargetMode="External"/><Relationship Id="rId11" Type="http://schemas.openxmlformats.org/officeDocument/2006/relationships/hyperlink" Target="http://www.cfe-eutax.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uria.europa.eu/juris/document/document.jsf?text=&amp;docid=162168&amp;pageIndex=0&amp;doclang=EN&amp;mode=lst&amp;dir=&amp;occ=first&amp;part=1&amp;cid=96535" TargetMode="External"/><Relationship Id="rId4" Type="http://schemas.openxmlformats.org/officeDocument/2006/relationships/webSettings" Target="webSettings.xml"/><Relationship Id="rId9" Type="http://schemas.openxmlformats.org/officeDocument/2006/relationships/hyperlink" Target="http://curia.europa.eu/juris/document/document.jsf?text=&amp;docid=163720&amp;pageIndex=0&amp;doclang=EN&amp;mode=lst&amp;dir=&amp;occ=first&amp;part=1&amp;cid=96535" TargetMode="External"/><Relationship Id="rId14" Type="http://schemas.openxmlformats.org/officeDocument/2006/relationships/image" Target="cid:image002.png@01D05A62.500B7F5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40170720.dotm</Template>
  <TotalTime>2</TotalTime>
  <Pages>1</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Schouten</dc:creator>
  <cp:lastModifiedBy>Sandra Schouten</cp:lastModifiedBy>
  <cp:revision>1</cp:revision>
  <dcterms:created xsi:type="dcterms:W3CDTF">2015-04-23T10:38:00Z</dcterms:created>
  <dcterms:modified xsi:type="dcterms:W3CDTF">2015-04-23T10:40:00Z</dcterms:modified>
</cp:coreProperties>
</file>