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CellSpacing w:w="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2"/>
      </w:tblGrid>
      <w:tr w:rsidR="00B16051" w:rsidTr="00B16051">
        <w:trPr>
          <w:trHeight w:val="1924"/>
          <w:tblCellSpacing w:w="0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9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4"/>
              <w:gridCol w:w="6"/>
            </w:tblGrid>
            <w:tr w:rsidR="00B16051">
              <w:trPr>
                <w:trHeight w:val="76"/>
                <w:tblCellSpacing w:w="0" w:type="dxa"/>
              </w:trPr>
              <w:tc>
                <w:tcPr>
                  <w:tcW w:w="9094" w:type="dxa"/>
                  <w:vAlign w:val="center"/>
                  <w:hideMark/>
                </w:tcPr>
                <w:p w:rsidR="00B16051" w:rsidRDefault="00B16051">
                  <w:pPr>
                    <w:spacing w:line="76" w:lineRule="atLeast"/>
                    <w:jc w:val="both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 wp14:anchorId="67DA436A" wp14:editId="3B59343E">
                        <wp:extent cx="5762625" cy="666750"/>
                        <wp:effectExtent l="0" t="0" r="9525" b="0"/>
                        <wp:docPr id="2" name="Afbeelding 2" descr="cid:image003.jpg@01D06B17.5D622F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3.jpg@01D06B17.5D622F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B16051" w:rsidRDefault="00B16051">
                  <w:pPr>
                    <w:spacing w:line="276" w:lineRule="auto"/>
                    <w:jc w:val="both"/>
                    <w:rPr>
                      <w:color w:val="ACABAB"/>
                      <w:sz w:val="20"/>
                      <w:szCs w:val="20"/>
                    </w:rPr>
                  </w:pPr>
                </w:p>
                <w:p w:rsidR="00B16051" w:rsidRDefault="00B16051">
                  <w:pPr>
                    <w:spacing w:line="76" w:lineRule="atLeast"/>
                    <w:jc w:val="both"/>
                    <w:rPr>
                      <w:color w:val="ACABAB"/>
                      <w:sz w:val="20"/>
                      <w:szCs w:val="20"/>
                    </w:rPr>
                  </w:pPr>
                </w:p>
              </w:tc>
            </w:tr>
          </w:tbl>
          <w:p w:rsidR="00B16051" w:rsidRDefault="00B1605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Fiscal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Committee</w:t>
            </w:r>
            <w:proofErr w:type="spellEnd"/>
          </w:p>
          <w:p w:rsidR="00B16051" w:rsidRDefault="00B16051">
            <w:pPr>
              <w:shd w:val="clear" w:color="auto" w:fill="FEFEFE"/>
              <w:spacing w:line="276" w:lineRule="auto"/>
              <w:ind w:right="2925"/>
              <w:jc w:val="both"/>
              <w:rPr>
                <w:b/>
                <w:bCs/>
                <w:color w:val="000000"/>
                <w:sz w:val="20"/>
                <w:szCs w:val="20"/>
                <w:lang w:val="en" w:eastAsia="fr-BE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B16051" w:rsidRDefault="00B16051">
            <w:pPr>
              <w:shd w:val="clear" w:color="auto" w:fill="FEFEFE"/>
              <w:spacing w:line="276" w:lineRule="auto"/>
              <w:ind w:left="7371"/>
              <w:jc w:val="both"/>
              <w:rPr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>30 March 2015</w:t>
            </w:r>
          </w:p>
          <w:p w:rsidR="00B16051" w:rsidRDefault="00B16051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  <w:p w:rsidR="00B16051" w:rsidRDefault="00B16051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asks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Belgium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change dividend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taxation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rules</w:t>
            </w:r>
            <w:proofErr w:type="spellEnd"/>
          </w:p>
          <w:p w:rsidR="00B16051" w:rsidRDefault="00B16051">
            <w:pPr>
              <w:spacing w:line="276" w:lineRule="auto"/>
              <w:rPr>
                <w:sz w:val="20"/>
                <w:szCs w:val="20"/>
              </w:rPr>
            </w:pPr>
          </w:p>
          <w:p w:rsidR="00B16051" w:rsidRDefault="00B16051">
            <w:pPr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26 </w:t>
            </w:r>
            <w:proofErr w:type="spellStart"/>
            <w:r>
              <w:rPr>
                <w:sz w:val="20"/>
                <w:szCs w:val="20"/>
              </w:rPr>
              <w:t>March</w:t>
            </w:r>
            <w:proofErr w:type="spellEnd"/>
            <w:r>
              <w:rPr>
                <w:sz w:val="20"/>
                <w:szCs w:val="20"/>
              </w:rPr>
              <w:t xml:space="preserve"> 2015, the European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 xml:space="preserve"> has sent a </w:t>
            </w:r>
            <w:proofErr w:type="spellStart"/>
            <w:r>
              <w:rPr>
                <w:sz w:val="20"/>
                <w:szCs w:val="20"/>
              </w:rPr>
              <w:t>reasoned</w:t>
            </w:r>
            <w:proofErr w:type="spellEnd"/>
            <w:r>
              <w:rPr>
                <w:sz w:val="20"/>
                <w:szCs w:val="20"/>
              </w:rPr>
              <w:t xml:space="preserve"> opinion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Belgium </w:t>
            </w:r>
            <w:proofErr w:type="spellStart"/>
            <w:r>
              <w:rPr>
                <w:sz w:val="20"/>
                <w:szCs w:val="20"/>
              </w:rPr>
              <w:t>asking</w:t>
            </w:r>
            <w:proofErr w:type="spellEnd"/>
            <w:r>
              <w:rPr>
                <w:sz w:val="20"/>
                <w:szCs w:val="20"/>
              </w:rPr>
              <w:t xml:space="preserve"> the country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possibility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deduct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taxable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income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income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financial </w:t>
            </w:r>
            <w:proofErr w:type="spellStart"/>
            <w:r>
              <w:rPr>
                <w:sz w:val="20"/>
                <w:szCs w:val="20"/>
              </w:rPr>
              <w:t>instruments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have been </w:t>
            </w:r>
            <w:proofErr w:type="spellStart"/>
            <w:r>
              <w:rPr>
                <w:sz w:val="20"/>
                <w:szCs w:val="20"/>
              </w:rPr>
              <w:t>sold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given</w:t>
            </w:r>
            <w:proofErr w:type="spellEnd"/>
            <w:r>
              <w:rPr>
                <w:sz w:val="20"/>
                <w:szCs w:val="20"/>
              </w:rPr>
              <w:t xml:space="preserve"> as security or </w:t>
            </w:r>
            <w:proofErr w:type="spellStart"/>
            <w:r>
              <w:rPr>
                <w:sz w:val="20"/>
                <w:szCs w:val="20"/>
              </w:rPr>
              <w:t>lent</w:t>
            </w:r>
            <w:proofErr w:type="spellEnd"/>
            <w:r>
              <w:rPr>
                <w:sz w:val="20"/>
                <w:szCs w:val="20"/>
              </w:rPr>
              <w:t xml:space="preserve"> in the context of in rem </w:t>
            </w:r>
            <w:proofErr w:type="spellStart"/>
            <w:r>
              <w:rPr>
                <w:sz w:val="20"/>
                <w:szCs w:val="20"/>
              </w:rPr>
              <w:t>securities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proofErr w:type="spellStart"/>
            <w:r>
              <w:rPr>
                <w:sz w:val="20"/>
                <w:szCs w:val="20"/>
              </w:rPr>
              <w:t>loans</w:t>
            </w:r>
            <w:proofErr w:type="spellEnd"/>
            <w:r>
              <w:rPr>
                <w:sz w:val="20"/>
                <w:szCs w:val="20"/>
              </w:rPr>
              <w:t xml:space="preserve"> in cross-border </w:t>
            </w:r>
            <w:proofErr w:type="spellStart"/>
            <w:r>
              <w:rPr>
                <w:sz w:val="20"/>
                <w:szCs w:val="20"/>
              </w:rPr>
              <w:t>situations</w:t>
            </w:r>
            <w:proofErr w:type="spellEnd"/>
            <w:r>
              <w:rPr>
                <w:sz w:val="20"/>
                <w:szCs w:val="20"/>
              </w:rPr>
              <w:t xml:space="preserve">. The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considers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Belgian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rules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the EU Parent-</w:t>
            </w:r>
            <w:proofErr w:type="spellStart"/>
            <w:r>
              <w:rPr>
                <w:sz w:val="20"/>
                <w:szCs w:val="20"/>
              </w:rPr>
              <w:t>Subsidiary</w:t>
            </w:r>
            <w:proofErr w:type="spellEnd"/>
            <w:r>
              <w:rPr>
                <w:sz w:val="20"/>
                <w:szCs w:val="20"/>
              </w:rPr>
              <w:t xml:space="preserve"> Directive.</w:t>
            </w:r>
          </w:p>
          <w:p w:rsidR="00B16051" w:rsidRDefault="00B16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6051" w:rsidRDefault="00B16051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sz w:val="20"/>
                <w:szCs w:val="20"/>
                <w:lang w:eastAsia="en-US"/>
              </w:rPr>
              <w:t xml:space="preserve">Press release: </w:t>
            </w:r>
            <w:proofErr w:type="spellStart"/>
            <w:r>
              <w:rPr>
                <w:sz w:val="20"/>
                <w:szCs w:val="20"/>
                <w:lang w:eastAsia="en-US"/>
              </w:rPr>
              <w:t>March</w:t>
            </w:r>
            <w:proofErr w:type="spellEnd"/>
            <w:r>
              <w:rPr>
                <w:rStyle w:val="Hyperlink"/>
                <w:sz w:val="20"/>
                <w:szCs w:val="20"/>
                <w:u w:val="none"/>
                <w:lang w:eastAsia="en-US"/>
              </w:rPr>
              <w:t xml:space="preserve"> </w:t>
            </w:r>
            <w:proofErr w:type="spellStart"/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>infringement</w:t>
            </w:r>
            <w:proofErr w:type="spellEnd"/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 xml:space="preserve"> package: </w:t>
            </w:r>
            <w:hyperlink r:id="rId7" w:history="1">
              <w:r>
                <w:rPr>
                  <w:rStyle w:val="Hyperlink"/>
                  <w:sz w:val="20"/>
                  <w:szCs w:val="20"/>
                  <w:lang w:eastAsia="en-US"/>
                </w:rPr>
                <w:t>EN</w:t>
              </w:r>
            </w:hyperlink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 xml:space="preserve"> (</w:t>
            </w:r>
            <w:proofErr w:type="spellStart"/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>several</w:t>
            </w:r>
            <w:proofErr w:type="spellEnd"/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proofErr w:type="spellStart"/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>languages</w:t>
            </w:r>
            <w:proofErr w:type="spellEnd"/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proofErr w:type="spellStart"/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>available</w:t>
            </w:r>
            <w:proofErr w:type="spellEnd"/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>)</w:t>
            </w:r>
          </w:p>
          <w:p w:rsidR="00B16051" w:rsidRDefault="00B16051">
            <w:pPr>
              <w:spacing w:line="276" w:lineRule="auto"/>
              <w:ind w:left="426"/>
              <w:rPr>
                <w:sz w:val="20"/>
                <w:szCs w:val="20"/>
              </w:rPr>
            </w:pPr>
          </w:p>
          <w:p w:rsidR="00B16051" w:rsidRDefault="00B16051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refers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Greece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CJEU over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two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inheritance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discriminations</w:t>
            </w:r>
            <w:proofErr w:type="spellEnd"/>
          </w:p>
          <w:p w:rsidR="00B16051" w:rsidRDefault="00B16051">
            <w:pPr>
              <w:spacing w:line="276" w:lineRule="auto"/>
              <w:ind w:left="426"/>
              <w:rPr>
                <w:sz w:val="20"/>
                <w:szCs w:val="20"/>
              </w:rPr>
            </w:pPr>
          </w:p>
          <w:p w:rsidR="00B16051" w:rsidRDefault="00B16051">
            <w:pPr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26 </w:t>
            </w:r>
            <w:proofErr w:type="spellStart"/>
            <w:r>
              <w:rPr>
                <w:sz w:val="20"/>
                <w:szCs w:val="20"/>
              </w:rPr>
              <w:t>March</w:t>
            </w:r>
            <w:proofErr w:type="spellEnd"/>
            <w:r>
              <w:rPr>
                <w:sz w:val="20"/>
                <w:szCs w:val="20"/>
              </w:rPr>
              <w:t xml:space="preserve"> 2015, the European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 xml:space="preserve"> has </w:t>
            </w:r>
            <w:proofErr w:type="spellStart"/>
            <w:r>
              <w:rPr>
                <w:sz w:val="20"/>
                <w:szCs w:val="20"/>
              </w:rPr>
              <w:t>decided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refer</w:t>
            </w:r>
            <w:proofErr w:type="spellEnd"/>
            <w:r>
              <w:rPr>
                <w:sz w:val="20"/>
                <w:szCs w:val="20"/>
              </w:rPr>
              <w:t xml:space="preserve"> Greece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the EU Court of </w:t>
            </w:r>
            <w:proofErr w:type="spellStart"/>
            <w:r>
              <w:rPr>
                <w:sz w:val="20"/>
                <w:szCs w:val="20"/>
              </w:rPr>
              <w:t>Justice</w:t>
            </w:r>
            <w:proofErr w:type="spellEnd"/>
            <w:r>
              <w:rPr>
                <w:sz w:val="20"/>
                <w:szCs w:val="20"/>
              </w:rPr>
              <w:t xml:space="preserve"> (CJEU) </w:t>
            </w:r>
            <w:proofErr w:type="spellStart"/>
            <w:r>
              <w:rPr>
                <w:sz w:val="20"/>
                <w:szCs w:val="20"/>
              </w:rPr>
              <w:t>regarding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provisions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Greek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inheritance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legislation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B16051" w:rsidRDefault="00B16051">
            <w:pPr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first concerns </w:t>
            </w:r>
            <w:proofErr w:type="spellStart"/>
            <w:r>
              <w:rPr>
                <w:sz w:val="20"/>
                <w:szCs w:val="20"/>
              </w:rPr>
              <w:t>bequests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non-profit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another</w:t>
            </w:r>
            <w:proofErr w:type="spellEnd"/>
            <w:r>
              <w:rPr>
                <w:sz w:val="20"/>
                <w:szCs w:val="20"/>
              </w:rPr>
              <w:t xml:space="preserve"> EU or EEA country. </w:t>
            </w:r>
            <w:proofErr w:type="spellStart"/>
            <w:r>
              <w:rPr>
                <w:sz w:val="20"/>
                <w:szCs w:val="20"/>
              </w:rPr>
              <w:t>Greek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applies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preferential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rate</w:t>
            </w:r>
            <w:proofErr w:type="spellEnd"/>
            <w:r>
              <w:rPr>
                <w:sz w:val="20"/>
                <w:szCs w:val="20"/>
              </w:rPr>
              <w:t xml:space="preserve"> of 0.5%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certain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Greek</w:t>
            </w:r>
            <w:proofErr w:type="spellEnd"/>
            <w:r>
              <w:rPr>
                <w:sz w:val="20"/>
                <w:szCs w:val="20"/>
              </w:rPr>
              <w:t xml:space="preserve"> non-profit </w:t>
            </w:r>
            <w:proofErr w:type="spellStart"/>
            <w:r>
              <w:rPr>
                <w:sz w:val="20"/>
                <w:szCs w:val="20"/>
              </w:rPr>
              <w:t>entities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whereas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similar</w:t>
            </w:r>
            <w:proofErr w:type="spellEnd"/>
            <w:r>
              <w:rPr>
                <w:sz w:val="20"/>
                <w:szCs w:val="20"/>
              </w:rPr>
              <w:t xml:space="preserve"> non-profit </w:t>
            </w:r>
            <w:proofErr w:type="spellStart"/>
            <w:r>
              <w:rPr>
                <w:sz w:val="20"/>
                <w:szCs w:val="20"/>
              </w:rPr>
              <w:t>entities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established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EU/EEA </w:t>
            </w:r>
            <w:proofErr w:type="spellStart"/>
            <w:r>
              <w:rPr>
                <w:sz w:val="20"/>
                <w:szCs w:val="20"/>
              </w:rPr>
              <w:t>states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only</w:t>
            </w:r>
            <w:proofErr w:type="spellEnd"/>
            <w:r>
              <w:rPr>
                <w:sz w:val="20"/>
                <w:szCs w:val="20"/>
              </w:rPr>
              <w:t xml:space="preserve"> benefit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preferential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rate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legacies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Greek</w:t>
            </w:r>
            <w:proofErr w:type="spellEnd"/>
            <w:r>
              <w:rPr>
                <w:sz w:val="20"/>
                <w:szCs w:val="20"/>
              </w:rPr>
              <w:t xml:space="preserve"> non-profit </w:t>
            </w:r>
            <w:proofErr w:type="spellStart"/>
            <w:r>
              <w:rPr>
                <w:sz w:val="20"/>
                <w:szCs w:val="20"/>
              </w:rPr>
              <w:t>entities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also</w:t>
            </w:r>
            <w:proofErr w:type="spellEnd"/>
            <w:r>
              <w:rPr>
                <w:sz w:val="20"/>
                <w:szCs w:val="20"/>
              </w:rPr>
              <w:t xml:space="preserve"> have access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preferential</w:t>
            </w:r>
            <w:proofErr w:type="spellEnd"/>
            <w:r>
              <w:rPr>
                <w:sz w:val="20"/>
                <w:szCs w:val="20"/>
              </w:rPr>
              <w:t xml:space="preserve"> tax treatment in the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country.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reciprocity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met, the </w:t>
            </w:r>
            <w:proofErr w:type="spellStart"/>
            <w:r>
              <w:rPr>
                <w:sz w:val="20"/>
                <w:szCs w:val="20"/>
              </w:rPr>
              <w:t>applicable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rate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between</w:t>
            </w:r>
            <w:proofErr w:type="spellEnd"/>
            <w:r>
              <w:rPr>
                <w:sz w:val="20"/>
                <w:szCs w:val="20"/>
              </w:rPr>
              <w:t xml:space="preserve"> 20-40%, </w:t>
            </w:r>
            <w:proofErr w:type="spellStart"/>
            <w:r>
              <w:rPr>
                <w:sz w:val="20"/>
                <w:szCs w:val="20"/>
              </w:rPr>
              <w:t>depending</w:t>
            </w:r>
            <w:proofErr w:type="spellEnd"/>
            <w:r>
              <w:rPr>
                <w:sz w:val="20"/>
                <w:szCs w:val="20"/>
              </w:rPr>
              <w:t xml:space="preserve"> on the </w:t>
            </w:r>
            <w:proofErr w:type="spellStart"/>
            <w:r>
              <w:rPr>
                <w:sz w:val="20"/>
                <w:szCs w:val="20"/>
              </w:rPr>
              <w:t>taxable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  <w:r>
              <w:rPr>
                <w:sz w:val="20"/>
                <w:szCs w:val="20"/>
              </w:rPr>
              <w:t xml:space="preserve"> of the property.</w:t>
            </w:r>
          </w:p>
          <w:p w:rsidR="00B16051" w:rsidRDefault="00B16051">
            <w:pPr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second case concerns </w:t>
            </w: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exemption</w:t>
            </w:r>
            <w:proofErr w:type="spellEnd"/>
            <w:r>
              <w:rPr>
                <w:sz w:val="20"/>
                <w:szCs w:val="20"/>
              </w:rPr>
              <w:t xml:space="preserve"> of a </w:t>
            </w:r>
            <w:proofErr w:type="spellStart"/>
            <w:r>
              <w:rPr>
                <w:sz w:val="20"/>
                <w:szCs w:val="20"/>
              </w:rPr>
              <w:t>primary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residence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inheritance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available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  </w:t>
            </w:r>
            <w:proofErr w:type="spellStart"/>
            <w:r>
              <w:rPr>
                <w:sz w:val="20"/>
                <w:szCs w:val="20"/>
              </w:rPr>
              <w:t>taxpayers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heirs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who</w:t>
            </w:r>
            <w:proofErr w:type="spellEnd"/>
            <w:r>
              <w:rPr>
                <w:sz w:val="20"/>
                <w:szCs w:val="20"/>
              </w:rPr>
              <w:t xml:space="preserve"> live(d) in Greece.</w:t>
            </w:r>
          </w:p>
          <w:p w:rsidR="00B16051" w:rsidRDefault="00B16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6051" w:rsidRDefault="00B16051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  <w:lang w:val="fr-BE" w:eastAsia="en-US"/>
              </w:rPr>
            </w:pPr>
            <w:r>
              <w:rPr>
                <w:sz w:val="20"/>
                <w:szCs w:val="20"/>
                <w:lang w:val="fr-BE"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fr-BE"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eastAsia="en-US"/>
              </w:rPr>
              <w:t>Bequests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non-profit </w:t>
            </w:r>
            <w:proofErr w:type="spellStart"/>
            <w:r>
              <w:rPr>
                <w:sz w:val="20"/>
                <w:szCs w:val="20"/>
                <w:lang w:eastAsia="en-US"/>
              </w:rPr>
              <w:t>organisations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press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release: </w:t>
            </w:r>
            <w:hyperlink r:id="rId8" w:history="1"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 EN (DE, EL, FR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available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>)</w:t>
              </w:r>
            </w:hyperlink>
          </w:p>
          <w:p w:rsidR="00B16051" w:rsidRDefault="00B16051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eastAsia="en-US"/>
              </w:rPr>
              <w:t>Exemption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linked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residence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Greece, </w:t>
            </w:r>
            <w:proofErr w:type="spellStart"/>
            <w:r>
              <w:rPr>
                <w:sz w:val="20"/>
                <w:szCs w:val="20"/>
                <w:lang w:eastAsia="en-US"/>
              </w:rPr>
              <w:t>press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release:</w:t>
            </w:r>
            <w:hyperlink r:id="rId9" w:history="1"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EN (DE, EL, FR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available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>)</w:t>
              </w:r>
            </w:hyperlink>
          </w:p>
          <w:p w:rsidR="00B16051" w:rsidRDefault="00B16051">
            <w:pPr>
              <w:pStyle w:val="Lijstalinea"/>
              <w:spacing w:line="276" w:lineRule="auto"/>
              <w:ind w:left="1068"/>
              <w:rPr>
                <w:sz w:val="20"/>
                <w:szCs w:val="20"/>
                <w:lang w:eastAsia="en-US"/>
              </w:rPr>
            </w:pPr>
          </w:p>
          <w:p w:rsidR="00B16051" w:rsidRDefault="00B16051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European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Parliament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adopts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“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Annual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Tax Report” – CFE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comments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taken on board</w:t>
            </w:r>
          </w:p>
          <w:p w:rsidR="00B16051" w:rsidRDefault="00B16051">
            <w:pPr>
              <w:pStyle w:val="Lijstalinea"/>
              <w:spacing w:line="276" w:lineRule="auto"/>
              <w:ind w:left="1068"/>
              <w:rPr>
                <w:sz w:val="20"/>
                <w:szCs w:val="20"/>
                <w:lang w:eastAsia="en-US"/>
              </w:rPr>
            </w:pPr>
          </w:p>
          <w:p w:rsidR="00B16051" w:rsidRDefault="00B16051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On 25 </w:t>
            </w:r>
            <w:proofErr w:type="spellStart"/>
            <w:r>
              <w:rPr>
                <w:sz w:val="20"/>
                <w:szCs w:val="20"/>
                <w:lang w:eastAsia="en-US"/>
              </w:rPr>
              <w:t>March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2015, the European </w:t>
            </w:r>
            <w:proofErr w:type="spellStart"/>
            <w:r>
              <w:rPr>
                <w:sz w:val="20"/>
                <w:szCs w:val="20"/>
                <w:lang w:eastAsia="en-US"/>
              </w:rPr>
              <w:t>Parliament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adopted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non-</w:t>
            </w:r>
            <w:proofErr w:type="spellStart"/>
            <w:r>
              <w:rPr>
                <w:sz w:val="20"/>
                <w:szCs w:val="20"/>
                <w:lang w:eastAsia="en-US"/>
              </w:rPr>
              <w:t>legislative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eastAsia="en-US"/>
              </w:rPr>
              <w:t>Annual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Report”, </w:t>
            </w:r>
            <w:proofErr w:type="spellStart"/>
            <w:r>
              <w:rPr>
                <w:sz w:val="20"/>
                <w:szCs w:val="20"/>
                <w:lang w:eastAsia="en-US"/>
              </w:rPr>
              <w:t>commenting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on a </w:t>
            </w:r>
            <w:proofErr w:type="spellStart"/>
            <w:r>
              <w:rPr>
                <w:sz w:val="20"/>
                <w:szCs w:val="20"/>
                <w:lang w:eastAsia="en-US"/>
              </w:rPr>
              <w:t>wide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range of issues </w:t>
            </w:r>
            <w:proofErr w:type="spellStart"/>
            <w:r>
              <w:rPr>
                <w:sz w:val="20"/>
                <w:szCs w:val="20"/>
                <w:lang w:eastAsia="en-US"/>
              </w:rPr>
              <w:t>currently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discussed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EU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policy </w:t>
            </w:r>
            <w:proofErr w:type="spellStart"/>
            <w:r>
              <w:rPr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as automatic exchange of information, country-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-country </w:t>
            </w:r>
            <w:proofErr w:type="spellStart"/>
            <w:r>
              <w:rPr>
                <w:sz w:val="20"/>
                <w:szCs w:val="20"/>
                <w:lang w:eastAsia="en-US"/>
              </w:rPr>
              <w:t>reporting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tax </w:t>
            </w:r>
            <w:proofErr w:type="spellStart"/>
            <w:r>
              <w:rPr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the financial transaction tax, the CCCTB, tax havens, BEPS, </w:t>
            </w:r>
            <w:proofErr w:type="spellStart"/>
            <w:r>
              <w:rPr>
                <w:sz w:val="20"/>
                <w:szCs w:val="20"/>
                <w:lang w:eastAsia="en-US"/>
              </w:rPr>
              <w:t>specific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regimes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income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intellectual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property (“patent </w:t>
            </w:r>
            <w:proofErr w:type="spellStart"/>
            <w:r>
              <w:rPr>
                <w:sz w:val="20"/>
                <w:szCs w:val="20"/>
                <w:lang w:eastAsia="en-US"/>
              </w:rPr>
              <w:t>boxes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”)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recent </w:t>
            </w:r>
            <w:proofErr w:type="spellStart"/>
            <w:r>
              <w:rPr>
                <w:sz w:val="20"/>
                <w:szCs w:val="20"/>
                <w:lang w:eastAsia="en-US"/>
              </w:rPr>
              <w:t>revisions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the EU Parent-</w:t>
            </w:r>
            <w:proofErr w:type="spellStart"/>
            <w:r>
              <w:rPr>
                <w:sz w:val="20"/>
                <w:szCs w:val="20"/>
                <w:lang w:eastAsia="en-US"/>
              </w:rPr>
              <w:t>Subsidiary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Anti Money </w:t>
            </w:r>
            <w:proofErr w:type="spellStart"/>
            <w:r>
              <w:rPr>
                <w:sz w:val="20"/>
                <w:szCs w:val="20"/>
                <w:lang w:eastAsia="en-US"/>
              </w:rPr>
              <w:t>Laundering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Directives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The report </w:t>
            </w:r>
            <w:proofErr w:type="spellStart"/>
            <w:r>
              <w:rPr>
                <w:sz w:val="20"/>
                <w:szCs w:val="20"/>
                <w:lang w:eastAsia="en-US"/>
              </w:rPr>
              <w:t>originally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drafted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Greek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MEP Eva </w:t>
            </w:r>
            <w:proofErr w:type="spellStart"/>
            <w:r>
              <w:rPr>
                <w:sz w:val="20"/>
                <w:szCs w:val="20"/>
                <w:lang w:eastAsia="en-US"/>
              </w:rPr>
              <w:t>Kaili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seeks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strike a </w:t>
            </w:r>
            <w:proofErr w:type="spellStart"/>
            <w:r>
              <w:rPr>
                <w:sz w:val="20"/>
                <w:szCs w:val="20"/>
                <w:lang w:eastAsia="en-US"/>
              </w:rPr>
              <w:t>balance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between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promoting </w:t>
            </w:r>
            <w:proofErr w:type="spellStart"/>
            <w:r>
              <w:rPr>
                <w:sz w:val="20"/>
                <w:szCs w:val="20"/>
                <w:lang w:eastAsia="en-US"/>
              </w:rPr>
              <w:t>growth-friendly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taxation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allowing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non-</w:t>
            </w:r>
            <w:proofErr w:type="spellStart"/>
            <w:r>
              <w:rPr>
                <w:sz w:val="20"/>
                <w:szCs w:val="20"/>
                <w:lang w:eastAsia="en-US"/>
              </w:rPr>
              <w:t>harmful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sz w:val="20"/>
                <w:szCs w:val="20"/>
                <w:lang w:eastAsia="en-US"/>
              </w:rPr>
              <w:t>competition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between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states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while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fighting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non-</w:t>
            </w:r>
            <w:proofErr w:type="spellStart"/>
            <w:r>
              <w:rPr>
                <w:sz w:val="20"/>
                <w:szCs w:val="20"/>
                <w:lang w:eastAsia="en-US"/>
              </w:rPr>
              <w:t>transparency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tax </w:t>
            </w:r>
            <w:proofErr w:type="spellStart"/>
            <w:r>
              <w:rPr>
                <w:sz w:val="20"/>
                <w:szCs w:val="20"/>
                <w:lang w:eastAsia="en-US"/>
              </w:rPr>
              <w:t>avoidance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tax </w:t>
            </w:r>
            <w:proofErr w:type="spellStart"/>
            <w:r>
              <w:rPr>
                <w:sz w:val="20"/>
                <w:szCs w:val="20"/>
                <w:lang w:eastAsia="en-US"/>
              </w:rPr>
              <w:t>evasion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fraud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The report does </w:t>
            </w:r>
            <w:proofErr w:type="spellStart"/>
            <w:r>
              <w:rPr>
                <w:sz w:val="20"/>
                <w:szCs w:val="20"/>
                <w:lang w:eastAsia="en-US"/>
              </w:rPr>
              <w:t>not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fail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stress the </w:t>
            </w:r>
            <w:proofErr w:type="spellStart"/>
            <w:r>
              <w:rPr>
                <w:sz w:val="20"/>
                <w:szCs w:val="20"/>
                <w:lang w:eastAsia="en-US"/>
              </w:rPr>
              <w:t>governments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´ </w:t>
            </w:r>
            <w:proofErr w:type="spellStart"/>
            <w:r>
              <w:rPr>
                <w:sz w:val="20"/>
                <w:szCs w:val="20"/>
                <w:lang w:eastAsia="en-US"/>
              </w:rPr>
              <w:t>role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en-US"/>
              </w:rPr>
              <w:t>encouraging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complex tax planning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undertakings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The CFE has </w:t>
            </w:r>
            <w:proofErr w:type="spellStart"/>
            <w:r>
              <w:rPr>
                <w:sz w:val="20"/>
                <w:szCs w:val="20"/>
                <w:lang w:eastAsia="en-US"/>
              </w:rPr>
              <w:t>provided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input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process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A </w:t>
            </w:r>
            <w:proofErr w:type="spellStart"/>
            <w:r>
              <w:rPr>
                <w:sz w:val="20"/>
                <w:szCs w:val="20"/>
                <w:lang w:eastAsia="en-US"/>
              </w:rPr>
              <w:t>number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points, e.g. on the </w:t>
            </w:r>
            <w:proofErr w:type="spellStart"/>
            <w:r>
              <w:rPr>
                <w:sz w:val="20"/>
                <w:szCs w:val="20"/>
                <w:lang w:eastAsia="en-US"/>
              </w:rPr>
              <w:t>importance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legal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certainty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clarity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the </w:t>
            </w:r>
            <w:proofErr w:type="spellStart"/>
            <w:r>
              <w:rPr>
                <w:sz w:val="20"/>
                <w:szCs w:val="20"/>
                <w:lang w:eastAsia="en-US"/>
              </w:rPr>
              <w:t>law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predictability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government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action, on the </w:t>
            </w:r>
            <w:proofErr w:type="spellStart"/>
            <w:r>
              <w:rPr>
                <w:sz w:val="20"/>
                <w:szCs w:val="20"/>
                <w:lang w:eastAsia="en-US"/>
              </w:rPr>
              <w:t>confidentiality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information </w:t>
            </w:r>
            <w:proofErr w:type="spellStart"/>
            <w:r>
              <w:rPr>
                <w:sz w:val="20"/>
                <w:szCs w:val="20"/>
                <w:lang w:eastAsia="en-US"/>
              </w:rPr>
              <w:t>exchanged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business </w:t>
            </w:r>
            <w:proofErr w:type="spellStart"/>
            <w:r>
              <w:rPr>
                <w:sz w:val="20"/>
                <w:szCs w:val="20"/>
                <w:lang w:eastAsia="en-US"/>
              </w:rPr>
              <w:t>secrets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on the </w:t>
            </w:r>
            <w:proofErr w:type="spellStart"/>
            <w:r>
              <w:rPr>
                <w:sz w:val="20"/>
                <w:szCs w:val="20"/>
                <w:lang w:eastAsia="en-US"/>
              </w:rPr>
              <w:t>general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usefulness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tax </w:t>
            </w:r>
            <w:proofErr w:type="spellStart"/>
            <w:r>
              <w:rPr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on the </w:t>
            </w:r>
            <w:proofErr w:type="spellStart"/>
            <w:r>
              <w:rPr>
                <w:sz w:val="20"/>
                <w:szCs w:val="20"/>
                <w:lang w:eastAsia="en-US"/>
              </w:rPr>
              <w:t>presumption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innocence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on the </w:t>
            </w:r>
            <w:proofErr w:type="spellStart"/>
            <w:r>
              <w:rPr>
                <w:sz w:val="20"/>
                <w:szCs w:val="20"/>
                <w:lang w:eastAsia="en-US"/>
              </w:rPr>
              <w:t>need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European </w:t>
            </w:r>
            <w:proofErr w:type="spellStart"/>
            <w:r>
              <w:rPr>
                <w:sz w:val="20"/>
                <w:szCs w:val="20"/>
                <w:lang w:eastAsia="en-US"/>
              </w:rPr>
              <w:t>Taxpayer´s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Code </w:t>
            </w:r>
            <w:proofErr w:type="spellStart"/>
            <w:r>
              <w:rPr>
                <w:sz w:val="20"/>
                <w:szCs w:val="20"/>
                <w:lang w:eastAsia="en-US"/>
              </w:rPr>
              <w:t>advocated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CFE have been </w:t>
            </w:r>
            <w:proofErr w:type="spellStart"/>
            <w:r>
              <w:rPr>
                <w:sz w:val="20"/>
                <w:szCs w:val="20"/>
                <w:lang w:eastAsia="en-US"/>
              </w:rPr>
              <w:t>included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MEPs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the </w:t>
            </w:r>
            <w:proofErr w:type="spellStart"/>
            <w:r>
              <w:rPr>
                <w:sz w:val="20"/>
                <w:szCs w:val="20"/>
                <w:lang w:eastAsia="en-US"/>
              </w:rPr>
              <w:t>final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B16051" w:rsidRDefault="00B16051">
            <w:pPr>
              <w:pStyle w:val="Lijstalinea"/>
              <w:spacing w:line="276" w:lineRule="auto"/>
              <w:ind w:left="1068"/>
              <w:rPr>
                <w:sz w:val="20"/>
                <w:szCs w:val="20"/>
                <w:lang w:eastAsia="en-US"/>
              </w:rPr>
            </w:pPr>
          </w:p>
          <w:p w:rsidR="00B16051" w:rsidRDefault="00B16051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sz w:val="20"/>
                <w:szCs w:val="20"/>
                <w:lang w:eastAsia="en-US"/>
              </w:rPr>
              <w:t xml:space="preserve">Press release: </w:t>
            </w:r>
            <w:hyperlink r:id="rId10" w:history="1">
              <w:r>
                <w:rPr>
                  <w:rStyle w:val="Hyperlink"/>
                  <w:sz w:val="20"/>
                  <w:szCs w:val="20"/>
                  <w:lang w:eastAsia="en-US"/>
                </w:rPr>
                <w:t>EN</w:t>
              </w:r>
            </w:hyperlink>
            <w:r>
              <w:rPr>
                <w:sz w:val="20"/>
                <w:szCs w:val="20"/>
                <w:lang w:eastAsia="en-US"/>
              </w:rPr>
              <w:t xml:space="preserve"> (FR, EL </w:t>
            </w:r>
            <w:proofErr w:type="spellStart"/>
            <w:r>
              <w:rPr>
                <w:sz w:val="20"/>
                <w:szCs w:val="20"/>
                <w:lang w:eastAsia="en-US"/>
              </w:rPr>
              <w:t>available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B16051" w:rsidRDefault="00B16051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eastAsia="en-US"/>
              </w:rPr>
              <w:t>Annual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Report: </w:t>
            </w:r>
            <w:hyperlink r:id="rId11" w:history="1">
              <w:r>
                <w:rPr>
                  <w:rStyle w:val="Hyperlink"/>
                  <w:sz w:val="20"/>
                  <w:szCs w:val="20"/>
                  <w:lang w:eastAsia="en-US"/>
                </w:rPr>
                <w:t>EN</w:t>
              </w:r>
            </w:hyperlink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all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EU </w:t>
            </w:r>
            <w:proofErr w:type="spellStart"/>
            <w:r>
              <w:rPr>
                <w:sz w:val="20"/>
                <w:szCs w:val="20"/>
                <w:lang w:eastAsia="en-US"/>
              </w:rPr>
              <w:t>languages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available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B16051" w:rsidRDefault="00B16051">
            <w:pPr>
              <w:pStyle w:val="Lijstalinea"/>
              <w:spacing w:line="276" w:lineRule="auto"/>
              <w:ind w:left="1068"/>
              <w:rPr>
                <w:sz w:val="20"/>
                <w:szCs w:val="20"/>
                <w:lang w:val="fr-BE" w:eastAsia="en-US"/>
              </w:rPr>
            </w:pPr>
          </w:p>
          <w:p w:rsidR="00B16051" w:rsidRDefault="00B16051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asks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France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apply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standard VAT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rate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non-food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agricultural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products</w:t>
            </w:r>
            <w:proofErr w:type="spellEnd"/>
          </w:p>
          <w:p w:rsidR="00B16051" w:rsidRDefault="00B16051">
            <w:pPr>
              <w:spacing w:line="276" w:lineRule="auto"/>
              <w:rPr>
                <w:sz w:val="20"/>
                <w:szCs w:val="20"/>
              </w:rPr>
            </w:pPr>
          </w:p>
          <w:p w:rsidR="00B16051" w:rsidRDefault="00B16051">
            <w:pPr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European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 xml:space="preserve"> has sent a </w:t>
            </w:r>
            <w:proofErr w:type="spellStart"/>
            <w:r>
              <w:rPr>
                <w:sz w:val="20"/>
                <w:szCs w:val="20"/>
              </w:rPr>
              <w:t>reasoned</w:t>
            </w:r>
            <w:proofErr w:type="spellEnd"/>
            <w:r>
              <w:rPr>
                <w:sz w:val="20"/>
                <w:szCs w:val="20"/>
              </w:rPr>
              <w:t xml:space="preserve"> opinion </w:t>
            </w:r>
            <w:proofErr w:type="spellStart"/>
            <w:r>
              <w:rPr>
                <w:sz w:val="20"/>
                <w:szCs w:val="20"/>
              </w:rPr>
              <w:t>asking</w:t>
            </w:r>
            <w:proofErr w:type="spellEnd"/>
            <w:r>
              <w:rPr>
                <w:sz w:val="20"/>
                <w:szCs w:val="20"/>
              </w:rPr>
              <w:t xml:space="preserve"> France on 26 </w:t>
            </w:r>
            <w:proofErr w:type="spellStart"/>
            <w:r>
              <w:rPr>
                <w:sz w:val="20"/>
                <w:szCs w:val="20"/>
              </w:rPr>
              <w:t>March</w:t>
            </w:r>
            <w:proofErr w:type="spellEnd"/>
            <w:r>
              <w:rPr>
                <w:sz w:val="20"/>
                <w:szCs w:val="20"/>
              </w:rPr>
              <w:t xml:space="preserve"> 2015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normal</w:t>
            </w:r>
            <w:proofErr w:type="spellEnd"/>
            <w:r>
              <w:rPr>
                <w:sz w:val="20"/>
                <w:szCs w:val="20"/>
              </w:rPr>
              <w:t xml:space="preserve"> VAT </w:t>
            </w:r>
            <w:proofErr w:type="spellStart"/>
            <w:r>
              <w:rPr>
                <w:sz w:val="20"/>
                <w:szCs w:val="20"/>
              </w:rPr>
              <w:t>rate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agricultural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are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intended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in food </w:t>
            </w:r>
            <w:proofErr w:type="spellStart"/>
            <w:r>
              <w:rPr>
                <w:sz w:val="20"/>
                <w:szCs w:val="20"/>
              </w:rPr>
              <w:t>products</w:t>
            </w:r>
            <w:proofErr w:type="spellEnd"/>
            <w:r>
              <w:rPr>
                <w:sz w:val="20"/>
                <w:szCs w:val="20"/>
              </w:rPr>
              <w:t xml:space="preserve"> or in </w:t>
            </w:r>
            <w:proofErr w:type="spellStart"/>
            <w:r>
              <w:rPr>
                <w:sz w:val="20"/>
                <w:szCs w:val="20"/>
              </w:rPr>
              <w:t>agricultural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 xml:space="preserve">. France </w:t>
            </w:r>
            <w:proofErr w:type="spellStart"/>
            <w:r>
              <w:rPr>
                <w:sz w:val="20"/>
                <w:szCs w:val="20"/>
              </w:rPr>
              <w:t>authorises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application</w:t>
            </w:r>
            <w:proofErr w:type="spellEnd"/>
            <w:r>
              <w:rPr>
                <w:sz w:val="20"/>
                <w:szCs w:val="20"/>
              </w:rPr>
              <w:t xml:space="preserve"> of a </w:t>
            </w:r>
            <w:proofErr w:type="spellStart"/>
            <w:r>
              <w:rPr>
                <w:sz w:val="20"/>
                <w:szCs w:val="20"/>
              </w:rPr>
              <w:t>reduced</w:t>
            </w:r>
            <w:proofErr w:type="spellEnd"/>
            <w:r>
              <w:rPr>
                <w:sz w:val="20"/>
                <w:szCs w:val="20"/>
              </w:rPr>
              <w:t xml:space="preserve"> VAT </w:t>
            </w:r>
            <w:proofErr w:type="spellStart"/>
            <w:r>
              <w:rPr>
                <w:sz w:val="20"/>
                <w:szCs w:val="20"/>
              </w:rPr>
              <w:t>rate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certain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used</w:t>
            </w:r>
            <w:proofErr w:type="spellEnd"/>
            <w:r>
              <w:rPr>
                <w:sz w:val="20"/>
                <w:szCs w:val="20"/>
              </w:rPr>
              <w:t xml:space="preserve"> in the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 xml:space="preserve"> of non-food </w:t>
            </w:r>
            <w:proofErr w:type="spellStart"/>
            <w:r>
              <w:rPr>
                <w:sz w:val="20"/>
                <w:szCs w:val="20"/>
              </w:rPr>
              <w:t>industrial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16051" w:rsidRDefault="00B16051">
            <w:pPr>
              <w:spacing w:line="276" w:lineRule="auto"/>
              <w:ind w:left="426"/>
              <w:rPr>
                <w:sz w:val="20"/>
                <w:szCs w:val="20"/>
              </w:rPr>
            </w:pPr>
          </w:p>
          <w:p w:rsidR="00B16051" w:rsidRDefault="00B16051">
            <w:pPr>
              <w:spacing w:line="276" w:lineRule="auto"/>
              <w:ind w:left="1068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r>
              <w:rPr>
                <w:sz w:val="20"/>
                <w:szCs w:val="20"/>
              </w:rPr>
              <w:t xml:space="preserve">Press release: </w:t>
            </w:r>
            <w:proofErr w:type="spellStart"/>
            <w:r>
              <w:rPr>
                <w:sz w:val="20"/>
                <w:szCs w:val="20"/>
              </w:rPr>
              <w:t>March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infringement</w:t>
            </w:r>
            <w:proofErr w:type="spellEnd"/>
            <w:r>
              <w:rPr>
                <w:sz w:val="20"/>
                <w:szCs w:val="20"/>
              </w:rPr>
              <w:t xml:space="preserve"> package: </w:t>
            </w:r>
            <w:hyperlink r:id="rId12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several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available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16051" w:rsidRDefault="00B16051">
            <w:pPr>
              <w:pStyle w:val="Lijstalinea"/>
              <w:spacing w:line="276" w:lineRule="auto"/>
              <w:ind w:left="1068"/>
              <w:rPr>
                <w:sz w:val="20"/>
                <w:szCs w:val="20"/>
                <w:lang w:eastAsia="en-US"/>
              </w:rPr>
            </w:pPr>
          </w:p>
          <w:p w:rsidR="00B16051" w:rsidRDefault="00B16051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VAT cross border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project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extended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until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September 2018</w:t>
            </w:r>
          </w:p>
          <w:p w:rsidR="00B16051" w:rsidRDefault="00B16051">
            <w:pPr>
              <w:spacing w:line="276" w:lineRule="auto"/>
              <w:rPr>
                <w:sz w:val="20"/>
                <w:szCs w:val="20"/>
              </w:rPr>
            </w:pPr>
          </w:p>
          <w:p w:rsidR="00B16051" w:rsidRDefault="00B16051">
            <w:pPr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cross border </w:t>
            </w:r>
            <w:proofErr w:type="spellStart"/>
            <w:r>
              <w:rPr>
                <w:sz w:val="20"/>
                <w:szCs w:val="20"/>
              </w:rPr>
              <w:t>rulings</w:t>
            </w:r>
            <w:proofErr w:type="spellEnd"/>
            <w:r>
              <w:rPr>
                <w:sz w:val="20"/>
                <w:szCs w:val="20"/>
              </w:rPr>
              <w:t xml:space="preserve"> project is a pilot project </w:t>
            </w:r>
            <w:proofErr w:type="spellStart"/>
            <w:r>
              <w:rPr>
                <w:sz w:val="20"/>
                <w:szCs w:val="20"/>
              </w:rPr>
              <w:t>offering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taxable</w:t>
            </w:r>
            <w:proofErr w:type="spellEnd"/>
            <w:r>
              <w:rPr>
                <w:sz w:val="20"/>
                <w:szCs w:val="20"/>
              </w:rPr>
              <w:t xml:space="preserve"> persons </w:t>
            </w:r>
            <w:proofErr w:type="spellStart"/>
            <w:r>
              <w:rPr>
                <w:sz w:val="20"/>
                <w:szCs w:val="20"/>
              </w:rPr>
              <w:t>who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envisage</w:t>
            </w:r>
            <w:proofErr w:type="spellEnd"/>
            <w:r>
              <w:rPr>
                <w:sz w:val="20"/>
                <w:szCs w:val="20"/>
              </w:rPr>
              <w:t xml:space="preserve"> cross-border transactions </w:t>
            </w:r>
            <w:proofErr w:type="spellStart"/>
            <w:r>
              <w:rPr>
                <w:sz w:val="20"/>
                <w:szCs w:val="20"/>
              </w:rPr>
              <w:t>between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two</w:t>
            </w:r>
            <w:proofErr w:type="spellEnd"/>
            <w:r>
              <w:rPr>
                <w:sz w:val="20"/>
                <w:szCs w:val="20"/>
              </w:rPr>
              <w:t xml:space="preserve"> or more </w:t>
            </w:r>
            <w:proofErr w:type="spellStart"/>
            <w:r>
              <w:rPr>
                <w:sz w:val="20"/>
                <w:szCs w:val="20"/>
              </w:rPr>
              <w:t>participating</w:t>
            </w:r>
            <w:proofErr w:type="spellEnd"/>
            <w:r>
              <w:rPr>
                <w:sz w:val="20"/>
                <w:szCs w:val="20"/>
              </w:rPr>
              <w:t xml:space="preserve"> EU member </w:t>
            </w:r>
            <w:proofErr w:type="spellStart"/>
            <w:r>
              <w:rPr>
                <w:sz w:val="20"/>
                <w:szCs w:val="20"/>
              </w:rPr>
              <w:t>states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a binding advance ruling on the VAT treatment of these transactions. The pilot has </w:t>
            </w:r>
            <w:proofErr w:type="spellStart"/>
            <w:r>
              <w:rPr>
                <w:sz w:val="20"/>
                <w:szCs w:val="20"/>
              </w:rPr>
              <w:t>started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2013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has </w:t>
            </w:r>
            <w:proofErr w:type="spellStart"/>
            <w:r>
              <w:rPr>
                <w:sz w:val="20"/>
                <w:szCs w:val="20"/>
              </w:rPr>
              <w:t>now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extended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again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continue </w:t>
            </w:r>
            <w:proofErr w:type="spellStart"/>
            <w:r>
              <w:rPr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 30 September 2018. </w:t>
            </w:r>
            <w:proofErr w:type="spellStart"/>
            <w:r>
              <w:rPr>
                <w:sz w:val="20"/>
                <w:szCs w:val="20"/>
              </w:rPr>
              <w:t>Only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limited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of EU member </w:t>
            </w:r>
            <w:proofErr w:type="spellStart"/>
            <w:r>
              <w:rPr>
                <w:sz w:val="20"/>
                <w:szCs w:val="20"/>
              </w:rPr>
              <w:t>states</w:t>
            </w:r>
            <w:proofErr w:type="spellEnd"/>
            <w:r>
              <w:rPr>
                <w:sz w:val="20"/>
                <w:szCs w:val="20"/>
              </w:rPr>
              <w:t xml:space="preserve"> have </w:t>
            </w:r>
            <w:proofErr w:type="spellStart"/>
            <w:r>
              <w:rPr>
                <w:sz w:val="20"/>
                <w:szCs w:val="20"/>
              </w:rPr>
              <w:t>so</w:t>
            </w:r>
            <w:proofErr w:type="spellEnd"/>
            <w:r>
              <w:rPr>
                <w:sz w:val="20"/>
                <w:szCs w:val="20"/>
              </w:rPr>
              <w:t xml:space="preserve"> far </w:t>
            </w:r>
            <w:proofErr w:type="spellStart"/>
            <w:r>
              <w:rPr>
                <w:sz w:val="20"/>
                <w:szCs w:val="20"/>
              </w:rPr>
              <w:t>agreed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participate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16051" w:rsidRDefault="00B16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6051" w:rsidRDefault="00B16051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eastAsia="en-US"/>
              </w:rPr>
              <w:t>Dedicated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website: </w:t>
            </w:r>
            <w:hyperlink r:id="rId13" w:history="1">
              <w:r>
                <w:rPr>
                  <w:rStyle w:val="Hyperlink"/>
                  <w:sz w:val="20"/>
                  <w:szCs w:val="20"/>
                  <w:lang w:eastAsia="en-US"/>
                </w:rPr>
                <w:t>EN</w:t>
              </w:r>
            </w:hyperlink>
          </w:p>
          <w:p w:rsidR="00B16051" w:rsidRDefault="00B16051">
            <w:pPr>
              <w:spacing w:line="276" w:lineRule="auto"/>
              <w:rPr>
                <w:sz w:val="20"/>
                <w:szCs w:val="20"/>
              </w:rPr>
            </w:pPr>
          </w:p>
          <w:p w:rsidR="00B16051" w:rsidRDefault="00B160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</w:t>
            </w:r>
          </w:p>
          <w:p w:rsidR="00B16051" w:rsidRDefault="00B1605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B16051" w:rsidRDefault="00B16051">
            <w:pPr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</w:rPr>
              <w:t>selection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>
              <w:rPr>
                <w:i/>
                <w:iCs/>
                <w:sz w:val="20"/>
                <w:szCs w:val="20"/>
              </w:rPr>
              <w:t>remitted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material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has been </w:t>
            </w:r>
            <w:proofErr w:type="spellStart"/>
            <w:r>
              <w:rPr>
                <w:i/>
                <w:iCs/>
                <w:sz w:val="20"/>
                <w:szCs w:val="20"/>
              </w:rPr>
              <w:t>prepared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Valente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/ </w:t>
            </w:r>
            <w:proofErr w:type="spellStart"/>
            <w:r>
              <w:rPr>
                <w:i/>
                <w:iCs/>
                <w:sz w:val="20"/>
                <w:szCs w:val="20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</w:rPr>
              <w:t>Reibel</w:t>
            </w:r>
            <w:proofErr w:type="spellEnd"/>
          </w:p>
          <w:p w:rsidR="00B16051" w:rsidRDefault="00B16051">
            <w:pPr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</w:rPr>
            </w:pPr>
          </w:p>
          <w:p w:rsidR="00B16051" w:rsidRDefault="00B16051">
            <w:pPr>
              <w:spacing w:line="276" w:lineRule="auto"/>
              <w:ind w:left="126"/>
              <w:jc w:val="center"/>
              <w:rPr>
                <w:color w:val="0000FF"/>
                <w:u w:val="single"/>
                <w:lang w:eastAsia="fr-BE"/>
              </w:rPr>
            </w:pPr>
            <w:hyperlink r:id="rId14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www.cfe-eutax.org</w:t>
              </w:r>
            </w:hyperlink>
          </w:p>
          <w:p w:rsidR="00B16051" w:rsidRDefault="00B16051">
            <w:pPr>
              <w:spacing w:line="276" w:lineRule="auto"/>
              <w:ind w:left="126"/>
              <w:jc w:val="center"/>
              <w:rPr>
                <w:i/>
                <w:iCs/>
                <w:color w:val="0000FF"/>
                <w:sz w:val="20"/>
                <w:szCs w:val="20"/>
                <w:u w:val="single"/>
              </w:rPr>
            </w:pPr>
          </w:p>
          <w:p w:rsidR="00B16051" w:rsidRDefault="00B16051">
            <w:pPr>
              <w:spacing w:line="276" w:lineRule="auto"/>
              <w:ind w:left="126"/>
              <w:jc w:val="center"/>
              <w:rPr>
                <w:lang w:val="en-US" w:eastAsia="fr-BE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Follow us on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hyperlink r:id="rId15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6835F63A" wp14:editId="793408C0">
                  <wp:extent cx="200025" cy="190500"/>
                  <wp:effectExtent l="0" t="0" r="9525" b="0"/>
                  <wp:docPr id="1" name="Afbeelding 1" descr="cid:image002.png@01D05A62.500B7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05A62.500B7F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16051" w:rsidTr="00B16051">
        <w:trPr>
          <w:trHeight w:val="20"/>
          <w:tblCellSpacing w:w="0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p w:rsidR="00B16051" w:rsidRDefault="00B16051">
            <w:pPr>
              <w:spacing w:line="276" w:lineRule="auto"/>
              <w:jc w:val="both"/>
              <w:rPr>
                <w:sz w:val="2"/>
                <w:szCs w:val="20"/>
                <w:lang w:val="en-US" w:eastAsia="fr-BE"/>
              </w:rPr>
            </w:pPr>
          </w:p>
        </w:tc>
      </w:tr>
    </w:tbl>
    <w:p w:rsidR="00B16051" w:rsidRDefault="00B16051" w:rsidP="00B16051">
      <w:pPr>
        <w:rPr>
          <w:color w:val="1F497D"/>
          <w:lang w:val="en-GB"/>
        </w:rPr>
      </w:pPr>
    </w:p>
    <w:p w:rsidR="00667086" w:rsidRDefault="00667086"/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51"/>
    <w:rsid w:val="00667086"/>
    <w:rsid w:val="00B1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605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1605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16051"/>
    <w:pPr>
      <w:ind w:left="720"/>
    </w:pPr>
    <w:rPr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60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6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605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1605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16051"/>
    <w:pPr>
      <w:ind w:left="720"/>
    </w:pPr>
    <w:rPr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60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rapid/press-release_IP-15-4674_en.htm" TargetMode="External"/><Relationship Id="rId13" Type="http://schemas.openxmlformats.org/officeDocument/2006/relationships/hyperlink" Target="http://ec.europa.eu/taxation_customs/taxation/vat/traders/cross_border_rulings/index_en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.eu/rapid/press-release_MEMO-15-4666_en.htm" TargetMode="External"/><Relationship Id="rId12" Type="http://schemas.openxmlformats.org/officeDocument/2006/relationships/hyperlink" Target="http://europa.eu/rapid/press-release_MEMO-15-4666_en.htm" TargetMode="External"/><Relationship Id="rId17" Type="http://schemas.openxmlformats.org/officeDocument/2006/relationships/image" Target="cid:image002.png@01D05A62.500B7F5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cid:image003.jpg@01D06B17.5D622F80" TargetMode="External"/><Relationship Id="rId11" Type="http://schemas.openxmlformats.org/officeDocument/2006/relationships/hyperlink" Target="http://www.europarl.europa.eu/sides/getDoc.do?pubRef=-//EP//TEXT+TA+P8-TA-2015-0089+0+DOC+XML+V0//E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nkedin.com/company/confederation-fiscal-europeene?trk=company_name" TargetMode="External"/><Relationship Id="rId10" Type="http://schemas.openxmlformats.org/officeDocument/2006/relationships/hyperlink" Target="http://www.europarl.europa.eu/news/de/news-room/content/20150324IPR37371/html/EP-takes-stance-on-tax-transparency-burdens-avoidance-and-evas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opa.eu/rapid/press-release_IP-15-4675_en.htm" TargetMode="External"/><Relationship Id="rId14" Type="http://schemas.openxmlformats.org/officeDocument/2006/relationships/hyperlink" Target="http://www.cfe-eutax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422E44B0</Template>
  <TotalTime>2</TotalTime>
  <Pages>2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2015-03-31T09:26:00Z</dcterms:created>
  <dcterms:modified xsi:type="dcterms:W3CDTF">2015-03-31T09:28:00Z</dcterms:modified>
</cp:coreProperties>
</file>