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CellSpacing w:w="0" w:type="dxa"/>
        <w:tblBorders>
          <w:top w:val="single" w:sz="48" w:space="0" w:color="000099"/>
          <w:left w:val="single" w:sz="48" w:space="0" w:color="000099"/>
          <w:bottom w:val="single" w:sz="48" w:space="0" w:color="000099"/>
          <w:right w:val="single" w:sz="48" w:space="0" w:color="0000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2"/>
      </w:tblGrid>
      <w:tr w:rsidR="00821928" w:rsidTr="00821928">
        <w:trPr>
          <w:trHeight w:val="1924"/>
          <w:tblCellSpacing w:w="0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tbl>
            <w:tblPr>
              <w:tblW w:w="9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4"/>
              <w:gridCol w:w="6"/>
            </w:tblGrid>
            <w:tr w:rsidR="00821928">
              <w:trPr>
                <w:trHeight w:val="76"/>
                <w:tblCellSpacing w:w="0" w:type="dxa"/>
              </w:trPr>
              <w:tc>
                <w:tcPr>
                  <w:tcW w:w="9094" w:type="dxa"/>
                  <w:vAlign w:val="center"/>
                  <w:hideMark/>
                </w:tcPr>
                <w:p w:rsidR="00821928" w:rsidRDefault="00821928">
                  <w:pPr>
                    <w:spacing w:line="76" w:lineRule="atLeast"/>
                    <w:jc w:val="both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  <w:bookmarkStart w:id="0" w:name="_GoBack"/>
                  <w:bookmarkEnd w:id="0"/>
                  <w:r>
                    <w:rPr>
                      <w:rFonts w:ascii="Calibri" w:hAnsi="Calibri"/>
                      <w:noProof/>
                      <w:sz w:val="20"/>
                      <w:szCs w:val="20"/>
                    </w:rPr>
                    <w:drawing>
                      <wp:inline distT="0" distB="0" distL="0" distR="0" wp14:anchorId="591E255B" wp14:editId="748BF623">
                        <wp:extent cx="5762625" cy="666750"/>
                        <wp:effectExtent l="0" t="0" r="9525" b="0"/>
                        <wp:docPr id="2" name="Afbeelding 2" descr="cid:image002.jpg@01D054F1.A79055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d:image002.jpg@01D054F1.A7905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821928" w:rsidRDefault="00821928">
                  <w:pPr>
                    <w:spacing w:line="276" w:lineRule="auto"/>
                    <w:jc w:val="both"/>
                    <w:rPr>
                      <w:rFonts w:ascii="Calibri" w:hAnsi="Calibri"/>
                      <w:color w:val="ACABAB"/>
                      <w:sz w:val="20"/>
                      <w:szCs w:val="20"/>
                      <w:lang w:eastAsia="en-US"/>
                    </w:rPr>
                  </w:pPr>
                </w:p>
                <w:p w:rsidR="00821928" w:rsidRDefault="00821928">
                  <w:pPr>
                    <w:spacing w:line="76" w:lineRule="atLeast"/>
                    <w:jc w:val="both"/>
                    <w:rPr>
                      <w:rFonts w:ascii="Calibri" w:hAnsi="Calibri"/>
                      <w:color w:val="ACABAB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21928" w:rsidRDefault="00821928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Fiscal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Committee</w:t>
            </w:r>
            <w:proofErr w:type="spellEnd"/>
          </w:p>
          <w:p w:rsidR="00821928" w:rsidRDefault="00821928">
            <w:pPr>
              <w:shd w:val="clear" w:color="auto" w:fill="FEFEFE"/>
              <w:spacing w:line="276" w:lineRule="auto"/>
              <w:ind w:right="2925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 w:eastAsia="fr-B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821928" w:rsidRDefault="00821928">
            <w:pPr>
              <w:shd w:val="clear" w:color="auto" w:fill="FEFEFE"/>
              <w:spacing w:line="276" w:lineRule="auto"/>
              <w:ind w:left="7371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/>
              </w:rPr>
              <w:t>2 March 2015</w:t>
            </w:r>
          </w:p>
          <w:p w:rsidR="00821928" w:rsidRDefault="00821928">
            <w:pPr>
              <w:pStyle w:val="Lijstalinea"/>
              <w:spacing w:line="276" w:lineRule="auto"/>
              <w:ind w:left="1069"/>
              <w:jc w:val="both"/>
              <w:rPr>
                <w:sz w:val="20"/>
                <w:szCs w:val="20"/>
                <w:lang w:eastAsia="en-US"/>
              </w:rPr>
            </w:pPr>
          </w:p>
          <w:p w:rsidR="00821928" w:rsidRDefault="00821928">
            <w:pPr>
              <w:pStyle w:val="Lijstalinea"/>
              <w:spacing w:line="276" w:lineRule="auto"/>
              <w:ind w:left="709"/>
              <w:jc w:val="both"/>
              <w:rPr>
                <w:sz w:val="20"/>
                <w:szCs w:val="20"/>
                <w:lang w:eastAsia="en-US"/>
              </w:rPr>
            </w:pPr>
          </w:p>
          <w:p w:rsidR="00821928" w:rsidRDefault="00821928">
            <w:pPr>
              <w:pStyle w:val="Lijstalinea"/>
              <w:spacing w:line="276" w:lineRule="auto"/>
              <w:ind w:hanging="36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      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CJEU dismisses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inheritance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tax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dicrimination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821928" w:rsidRDefault="00821928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821928" w:rsidRDefault="00821928">
            <w:pPr>
              <w:spacing w:line="276" w:lineRule="auto"/>
              <w:ind w:left="567" w:right="171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On 24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February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2015, the EU Court of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Justice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(CJEU)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decided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on the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preliminary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ruling case C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noBreakHyphen/>
              <w:t xml:space="preserve">559/13,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Grünewald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upon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reference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Court of Finance. The CJEU held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a member state must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allow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a non-resident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taxpayer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who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has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received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state commercial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income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shares in a business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which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were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transferred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him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relative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in the course of a gift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way of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anticipated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succession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deduct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income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annuities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which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he has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paid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relative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consideration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gift,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whereas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legislation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allows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a resident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taxpayer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make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such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deduction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  <w:p w:rsidR="00821928" w:rsidRDefault="00821928">
            <w:pPr>
              <w:spacing w:line="276" w:lineRule="auto"/>
              <w:ind w:left="567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821928" w:rsidRDefault="00821928">
            <w:pPr>
              <w:pStyle w:val="Lijstalinea"/>
              <w:spacing w:line="276" w:lineRule="auto"/>
              <w:ind w:left="1418" w:hanging="42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            </w:t>
            </w:r>
            <w:proofErr w:type="spellStart"/>
            <w:r>
              <w:rPr>
                <w:sz w:val="20"/>
                <w:szCs w:val="20"/>
              </w:rPr>
              <w:t>Judgment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hyperlink r:id="rId7" w:history="1">
              <w:proofErr w:type="spellStart"/>
              <w:r>
                <w:rPr>
                  <w:rStyle w:val="Hyperlink"/>
                  <w:sz w:val="20"/>
                  <w:szCs w:val="20"/>
                </w:rPr>
                <w:t>All</w:t>
              </w:r>
              <w:proofErr w:type="spellEnd"/>
              <w:r>
                <w:rPr>
                  <w:rStyle w:val="Hyperlink"/>
                  <w:sz w:val="20"/>
                  <w:szCs w:val="20"/>
                </w:rPr>
                <w:t xml:space="preserve"> EU </w:t>
              </w:r>
              <w:proofErr w:type="spellStart"/>
              <w:r>
                <w:rPr>
                  <w:rStyle w:val="Hyperlink"/>
                  <w:sz w:val="20"/>
                  <w:szCs w:val="20"/>
                </w:rPr>
                <w:t>languages</w:t>
              </w:r>
              <w:proofErr w:type="spellEnd"/>
            </w:hyperlink>
          </w:p>
          <w:p w:rsidR="00821928" w:rsidRDefault="00821928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" w:eastAsia="en-US"/>
              </w:rPr>
            </w:pPr>
          </w:p>
          <w:p w:rsidR="00821928" w:rsidRDefault="00821928">
            <w:pPr>
              <w:pStyle w:val="Lijstalinea"/>
              <w:spacing w:line="276" w:lineRule="auto"/>
              <w:ind w:left="567" w:right="141" w:hanging="36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      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Commission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refers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Germany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CJEU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limitation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of VAT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exemption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of shared services </w:t>
            </w:r>
          </w:p>
          <w:p w:rsidR="00821928" w:rsidRDefault="00821928">
            <w:pPr>
              <w:spacing w:line="276" w:lineRule="auto"/>
              <w:ind w:left="567" w:right="141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821928" w:rsidRDefault="00821928">
            <w:pPr>
              <w:spacing w:line="276" w:lineRule="auto"/>
              <w:ind w:left="567" w:right="141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On 26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February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2015, the European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Commission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has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decided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refer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Germany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the CJEU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because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its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VAT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legislation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on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exemptions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cost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sharing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groups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Cost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sharing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groups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are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associations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taxpayers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purpose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purchasing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services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third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parties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. According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the VAT Directive, services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supplied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cost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sharing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groups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their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members are exempt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VAT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if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the members'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activities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are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exempted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VAT, the shared services are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directly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necessary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the members'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activities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the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group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claims exact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reimbursement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each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member's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share of the joint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expenses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finally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such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exemption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does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not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cause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distortions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competition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However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the VAT Directive does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not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limit the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exemption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any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particular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sector, as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law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health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medical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services.</w:t>
            </w:r>
          </w:p>
          <w:p w:rsidR="00821928" w:rsidRDefault="00821928">
            <w:pPr>
              <w:spacing w:line="276" w:lineRule="auto"/>
              <w:ind w:left="567" w:right="141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821928" w:rsidRDefault="00821928">
            <w:pPr>
              <w:pStyle w:val="Lijstalinea"/>
              <w:spacing w:line="276" w:lineRule="auto"/>
              <w:ind w:left="1428" w:hanging="360"/>
              <w:rPr>
                <w:sz w:val="20"/>
                <w:szCs w:val="20"/>
                <w:lang w:val="fr-BE" w:eastAsia="en-US"/>
              </w:rPr>
            </w:pPr>
            <w:r>
              <w:rPr>
                <w:sz w:val="20"/>
                <w:szCs w:val="20"/>
                <w:lang w:val="fr-BE"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fr-BE" w:eastAsia="en-US"/>
              </w:rPr>
              <w:t xml:space="preserve">          </w:t>
            </w:r>
            <w:proofErr w:type="spellStart"/>
            <w:r>
              <w:rPr>
                <w:sz w:val="20"/>
                <w:szCs w:val="20"/>
              </w:rPr>
              <w:t>February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infringement</w:t>
            </w:r>
            <w:proofErr w:type="spellEnd"/>
            <w:r>
              <w:rPr>
                <w:sz w:val="20"/>
                <w:szCs w:val="20"/>
              </w:rPr>
              <w:t xml:space="preserve"> package : </w:t>
            </w:r>
            <w:hyperlink r:id="rId8" w:history="1">
              <w:proofErr w:type="spellStart"/>
              <w:r>
                <w:rPr>
                  <w:rStyle w:val="Hyperlink"/>
                  <w:sz w:val="20"/>
                  <w:szCs w:val="20"/>
                </w:rPr>
                <w:t>All</w:t>
              </w:r>
              <w:proofErr w:type="spellEnd"/>
              <w:r>
                <w:rPr>
                  <w:rStyle w:val="Hyperlink"/>
                  <w:sz w:val="20"/>
                  <w:szCs w:val="20"/>
                </w:rPr>
                <w:t xml:space="preserve"> EU </w:t>
              </w:r>
              <w:proofErr w:type="spellStart"/>
              <w:r>
                <w:rPr>
                  <w:rStyle w:val="Hyperlink"/>
                  <w:sz w:val="20"/>
                  <w:szCs w:val="20"/>
                </w:rPr>
                <w:t>languages</w:t>
              </w:r>
              <w:proofErr w:type="spellEnd"/>
            </w:hyperlink>
          </w:p>
          <w:p w:rsidR="00821928" w:rsidRDefault="00821928">
            <w:pPr>
              <w:pStyle w:val="Lijstalinea"/>
              <w:spacing w:line="276" w:lineRule="auto"/>
              <w:ind w:left="1428" w:hanging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          </w:t>
            </w:r>
            <w:r>
              <w:rPr>
                <w:sz w:val="20"/>
                <w:szCs w:val="20"/>
              </w:rPr>
              <w:t xml:space="preserve">More </w:t>
            </w:r>
            <w:proofErr w:type="spellStart"/>
            <w:r>
              <w:rPr>
                <w:sz w:val="20"/>
                <w:szCs w:val="20"/>
              </w:rPr>
              <w:t>detailed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press</w:t>
            </w:r>
            <w:proofErr w:type="spellEnd"/>
            <w:r>
              <w:rPr>
                <w:sz w:val="20"/>
                <w:szCs w:val="20"/>
              </w:rPr>
              <w:t xml:space="preserve"> release : 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DE/EN/FR</w:t>
              </w:r>
            </w:hyperlink>
          </w:p>
          <w:p w:rsidR="00821928" w:rsidRDefault="00821928">
            <w:pPr>
              <w:pStyle w:val="Lijstalinea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21928" w:rsidRDefault="00821928">
            <w:pPr>
              <w:pStyle w:val="Lijstalinea"/>
              <w:spacing w:line="276" w:lineRule="auto"/>
              <w:ind w:hanging="36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      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Infringement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actions on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registration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tax on motor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vehicles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against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Finland, Ireland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Portugal</w:t>
            </w:r>
          </w:p>
          <w:p w:rsidR="00821928" w:rsidRDefault="00821928">
            <w:pPr>
              <w:spacing w:line="276" w:lineRule="auto"/>
              <w:ind w:left="709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821928" w:rsidRDefault="00821928">
            <w:pPr>
              <w:spacing w:line="276" w:lineRule="auto"/>
              <w:ind w:left="709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On 26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February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2015, the European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Commission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referred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Portugal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the CJEU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its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car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registration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tax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imported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second-hand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vehicles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which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according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Commission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does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not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sufficiently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take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into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account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depreciation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. On the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same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day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the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Commission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decided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send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reasoned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opinions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Finland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Ireland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their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tax treatment of motor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vehicles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rented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leased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another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member state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registered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a resident,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demanding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such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cases,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only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proportionate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amount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car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tax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should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be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levied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. The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Commission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also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criticised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administrative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burden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such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cases.</w:t>
            </w:r>
          </w:p>
          <w:p w:rsidR="00821928" w:rsidRDefault="00821928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821928" w:rsidRDefault="00821928">
            <w:pPr>
              <w:pStyle w:val="Lijstalinea"/>
              <w:spacing w:line="276" w:lineRule="auto"/>
              <w:ind w:left="1440" w:hanging="360"/>
              <w:rPr>
                <w:sz w:val="20"/>
                <w:szCs w:val="20"/>
                <w:lang w:val="fr-BE" w:eastAsia="en-US"/>
              </w:rPr>
            </w:pPr>
            <w:r>
              <w:rPr>
                <w:sz w:val="20"/>
                <w:szCs w:val="20"/>
                <w:lang w:val="fr-BE"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fr-BE" w:eastAsia="en-US"/>
              </w:rPr>
              <w:t xml:space="preserve">          </w:t>
            </w:r>
            <w:proofErr w:type="spellStart"/>
            <w:r>
              <w:rPr>
                <w:sz w:val="20"/>
                <w:szCs w:val="20"/>
                <w:lang w:eastAsia="en-US"/>
              </w:rPr>
              <w:t>February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infringement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package : </w:t>
            </w:r>
            <w:hyperlink r:id="rId10" w:history="1"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All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 EU </w:t>
              </w:r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languages</w:t>
              </w:r>
              <w:proofErr w:type="spellEnd"/>
            </w:hyperlink>
          </w:p>
          <w:p w:rsidR="00821928" w:rsidRDefault="00821928">
            <w:pPr>
              <w:pStyle w:val="Lijstalinea"/>
              <w:spacing w:line="276" w:lineRule="auto"/>
              <w:ind w:left="1440" w:hanging="360"/>
              <w:rPr>
                <w:sz w:val="20"/>
                <w:szCs w:val="20"/>
                <w:lang w:val="fr-BE" w:eastAsia="en-US"/>
              </w:rPr>
            </w:pPr>
            <w:r>
              <w:rPr>
                <w:sz w:val="20"/>
                <w:szCs w:val="20"/>
                <w:lang w:val="fr-BE"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fr-BE" w:eastAsia="en-US"/>
              </w:rPr>
              <w:t xml:space="preserve">          </w:t>
            </w:r>
            <w:proofErr w:type="spellStart"/>
            <w:r>
              <w:rPr>
                <w:sz w:val="20"/>
                <w:szCs w:val="20"/>
                <w:lang w:val="fr-BE" w:eastAsia="en-US"/>
              </w:rPr>
              <w:t>Press</w:t>
            </w:r>
            <w:proofErr w:type="spellEnd"/>
            <w:r>
              <w:rPr>
                <w:sz w:val="20"/>
                <w:szCs w:val="20"/>
                <w:lang w:val="fr-BE" w:eastAsia="en-US"/>
              </w:rPr>
              <w:t xml:space="preserve"> release: </w:t>
            </w:r>
            <w:hyperlink r:id="rId11" w:history="1">
              <w:r>
                <w:rPr>
                  <w:rStyle w:val="Hyperlink"/>
                  <w:sz w:val="20"/>
                  <w:szCs w:val="20"/>
                  <w:lang w:val="fr-BE" w:eastAsia="en-US"/>
                </w:rPr>
                <w:t>PT/DE/EN/FR</w:t>
              </w:r>
            </w:hyperlink>
          </w:p>
          <w:p w:rsidR="00821928" w:rsidRDefault="00821928">
            <w:pPr>
              <w:pStyle w:val="Lijstalinea"/>
              <w:spacing w:line="276" w:lineRule="auto"/>
              <w:rPr>
                <w:sz w:val="20"/>
                <w:szCs w:val="20"/>
                <w:lang w:val="fr-BE" w:eastAsia="en-US"/>
              </w:rPr>
            </w:pPr>
          </w:p>
          <w:p w:rsidR="00821928" w:rsidRDefault="00821928">
            <w:pPr>
              <w:pStyle w:val="Lijstalinea"/>
              <w:spacing w:line="276" w:lineRule="auto"/>
              <w:ind w:hanging="36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4.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      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New EP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Committee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on tax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rulings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elects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its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chairs</w:t>
            </w:r>
            <w:proofErr w:type="spellEnd"/>
          </w:p>
          <w:p w:rsidR="00821928" w:rsidRDefault="00821928">
            <w:pPr>
              <w:pStyle w:val="Lijstalinea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21928" w:rsidRDefault="00821928">
            <w:pPr>
              <w:pStyle w:val="Lijstalinea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On 26 </w:t>
            </w:r>
            <w:proofErr w:type="spellStart"/>
            <w:r>
              <w:rPr>
                <w:sz w:val="20"/>
                <w:szCs w:val="20"/>
                <w:lang w:eastAsia="en-US"/>
              </w:rPr>
              <w:t>February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2015, the European </w:t>
            </w:r>
            <w:proofErr w:type="spellStart"/>
            <w:r>
              <w:rPr>
                <w:sz w:val="20"/>
                <w:szCs w:val="20"/>
                <w:lang w:eastAsia="en-US"/>
              </w:rPr>
              <w:t>Parliament´s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Special </w:t>
            </w:r>
            <w:proofErr w:type="spellStart"/>
            <w:r>
              <w:rPr>
                <w:sz w:val="20"/>
                <w:szCs w:val="20"/>
                <w:lang w:eastAsia="en-US"/>
              </w:rPr>
              <w:t>Committee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on Tax </w:t>
            </w:r>
            <w:proofErr w:type="spellStart"/>
            <w:r>
              <w:rPr>
                <w:sz w:val="20"/>
                <w:szCs w:val="20"/>
                <w:lang w:eastAsia="en-US"/>
              </w:rPr>
              <w:t>Rulings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elected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Alain </w:t>
            </w:r>
            <w:proofErr w:type="spellStart"/>
            <w:r>
              <w:rPr>
                <w:sz w:val="20"/>
                <w:szCs w:val="20"/>
                <w:lang w:eastAsia="en-US"/>
              </w:rPr>
              <w:t>Lamassoure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(EPP, FR) as </w:t>
            </w:r>
            <w:proofErr w:type="spellStart"/>
            <w:r>
              <w:rPr>
                <w:sz w:val="20"/>
                <w:szCs w:val="20"/>
                <w:lang w:eastAsia="en-US"/>
              </w:rPr>
              <w:t>its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chair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at </w:t>
            </w:r>
            <w:proofErr w:type="spellStart"/>
            <w:r>
              <w:rPr>
                <w:sz w:val="20"/>
                <w:szCs w:val="20"/>
                <w:lang w:eastAsia="en-US"/>
              </w:rPr>
              <w:t>its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constituent meeting. As </w:t>
            </w:r>
            <w:proofErr w:type="spellStart"/>
            <w:r>
              <w:rPr>
                <w:sz w:val="20"/>
                <w:szCs w:val="20"/>
                <w:lang w:eastAsia="en-US"/>
              </w:rPr>
              <w:t>vice-chairs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the </w:t>
            </w:r>
            <w:proofErr w:type="spellStart"/>
            <w:r>
              <w:rPr>
                <w:sz w:val="20"/>
                <w:szCs w:val="20"/>
                <w:lang w:eastAsia="en-US"/>
              </w:rPr>
              <w:t>committee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elected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Bernd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Lucke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(ECR, DE), </w:t>
            </w:r>
            <w:proofErr w:type="spellStart"/>
            <w:r>
              <w:rPr>
                <w:sz w:val="20"/>
                <w:szCs w:val="20"/>
                <w:lang w:eastAsia="en-US"/>
              </w:rPr>
              <w:t>Marisa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Matias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(GUE/NGL, PT)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Eva </w:t>
            </w:r>
            <w:proofErr w:type="spellStart"/>
            <w:r>
              <w:rPr>
                <w:sz w:val="20"/>
                <w:szCs w:val="20"/>
                <w:lang w:eastAsia="en-US"/>
              </w:rPr>
              <w:t>Joly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(Greens/EFA, FR). Rapporteurs </w:t>
            </w:r>
            <w:proofErr w:type="spellStart"/>
            <w:r>
              <w:rPr>
                <w:sz w:val="20"/>
                <w:szCs w:val="20"/>
                <w:lang w:eastAsia="en-US"/>
              </w:rPr>
              <w:t>will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appointed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on 9 </w:t>
            </w:r>
            <w:proofErr w:type="spellStart"/>
            <w:r>
              <w:rPr>
                <w:sz w:val="20"/>
                <w:szCs w:val="20"/>
                <w:lang w:eastAsia="en-US"/>
              </w:rPr>
              <w:t>March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The </w:t>
            </w:r>
            <w:proofErr w:type="spellStart"/>
            <w:r>
              <w:rPr>
                <w:sz w:val="20"/>
                <w:szCs w:val="20"/>
                <w:lang w:eastAsia="en-US"/>
              </w:rPr>
              <w:t>committee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will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look </w:t>
            </w:r>
            <w:proofErr w:type="spellStart"/>
            <w:r>
              <w:rPr>
                <w:sz w:val="20"/>
                <w:szCs w:val="20"/>
                <w:lang w:eastAsia="en-US"/>
              </w:rPr>
              <w:t>into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EU member </w:t>
            </w:r>
            <w:proofErr w:type="spellStart"/>
            <w:r>
              <w:rPr>
                <w:sz w:val="20"/>
                <w:szCs w:val="20"/>
                <w:lang w:eastAsia="en-US"/>
              </w:rPr>
              <w:t>states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’ tax </w:t>
            </w:r>
            <w:proofErr w:type="spellStart"/>
            <w:r>
              <w:rPr>
                <w:sz w:val="20"/>
                <w:szCs w:val="20"/>
                <w:lang w:eastAsia="en-US"/>
              </w:rPr>
              <w:t>rulings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since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1991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review </w:t>
            </w:r>
            <w:proofErr w:type="spellStart"/>
            <w:r>
              <w:rPr>
                <w:sz w:val="20"/>
                <w:szCs w:val="20"/>
                <w:lang w:eastAsia="en-US"/>
              </w:rPr>
              <w:t>how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European </w:t>
            </w:r>
            <w:proofErr w:type="spellStart"/>
            <w:r>
              <w:rPr>
                <w:sz w:val="20"/>
                <w:szCs w:val="20"/>
                <w:lang w:eastAsia="en-US"/>
              </w:rPr>
              <w:t>Commission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currently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applies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its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state </w:t>
            </w:r>
            <w:proofErr w:type="spellStart"/>
            <w:r>
              <w:rPr>
                <w:sz w:val="20"/>
                <w:szCs w:val="20"/>
                <w:lang w:eastAsia="en-US"/>
              </w:rPr>
              <w:t>aid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rules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with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regard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rulings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Moreover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the </w:t>
            </w:r>
            <w:proofErr w:type="spellStart"/>
            <w:r>
              <w:rPr>
                <w:sz w:val="20"/>
                <w:szCs w:val="20"/>
                <w:lang w:eastAsia="en-US"/>
              </w:rPr>
              <w:t>committee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will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seek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establish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negative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effects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aggressive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tax planning has had on public </w:t>
            </w:r>
            <w:proofErr w:type="spellStart"/>
            <w:r>
              <w:rPr>
                <w:sz w:val="20"/>
                <w:szCs w:val="20"/>
                <w:lang w:eastAsia="en-US"/>
              </w:rPr>
              <w:t>finances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will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deliver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recommendations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821928" w:rsidRDefault="00821928">
            <w:pPr>
              <w:pStyle w:val="Lijstalinea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21928" w:rsidRDefault="00821928">
            <w:pPr>
              <w:pStyle w:val="Lijstalinea"/>
              <w:spacing w:line="276" w:lineRule="auto"/>
              <w:ind w:left="1647" w:hanging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          </w:t>
            </w:r>
            <w:r>
              <w:rPr>
                <w:sz w:val="20"/>
                <w:szCs w:val="20"/>
                <w:lang w:eastAsia="en-US"/>
              </w:rPr>
              <w:t xml:space="preserve">Press release: </w:t>
            </w:r>
            <w:hyperlink r:id="rId12" w:history="1">
              <w:r>
                <w:rPr>
                  <w:rStyle w:val="Hyperlink"/>
                  <w:sz w:val="20"/>
                  <w:szCs w:val="20"/>
                  <w:lang w:eastAsia="en-US"/>
                </w:rPr>
                <w:t>EN/FR</w:t>
              </w:r>
            </w:hyperlink>
          </w:p>
          <w:p w:rsidR="00821928" w:rsidRDefault="00821928">
            <w:pPr>
              <w:pStyle w:val="Lijstalinea"/>
              <w:spacing w:line="276" w:lineRule="auto"/>
              <w:ind w:left="1647" w:hanging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          </w:t>
            </w:r>
            <w:proofErr w:type="spellStart"/>
            <w:r>
              <w:rPr>
                <w:sz w:val="20"/>
                <w:szCs w:val="20"/>
                <w:lang w:eastAsia="en-US"/>
              </w:rPr>
              <w:t>Mandate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the </w:t>
            </w:r>
            <w:proofErr w:type="spellStart"/>
            <w:r>
              <w:rPr>
                <w:sz w:val="20"/>
                <w:szCs w:val="20"/>
                <w:lang w:eastAsia="en-US"/>
              </w:rPr>
              <w:t>Committee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: </w:t>
            </w:r>
            <w:hyperlink r:id="rId13" w:history="1"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All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 EU </w:t>
              </w:r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languages</w:t>
              </w:r>
              <w:proofErr w:type="spellEnd"/>
            </w:hyperlink>
          </w:p>
          <w:p w:rsidR="00821928" w:rsidRDefault="00821928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821928" w:rsidRDefault="00821928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*****</w:t>
            </w:r>
          </w:p>
          <w:p w:rsidR="00821928" w:rsidRDefault="00821928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821928" w:rsidRDefault="00821928">
            <w:pPr>
              <w:pStyle w:val="Lijstalinea"/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The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selection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of the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remitted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material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has been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prepared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Piergiorgio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Valente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Filipa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Correia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/ Rudolf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Reibel</w:t>
            </w:r>
            <w:proofErr w:type="spellEnd"/>
          </w:p>
          <w:p w:rsidR="00821928" w:rsidRDefault="00821928">
            <w:pPr>
              <w:pStyle w:val="Lijstalinea"/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  <w:p w:rsidR="00821928" w:rsidRDefault="00821928">
            <w:pPr>
              <w:pStyle w:val="Lijstalinea"/>
              <w:spacing w:line="276" w:lineRule="auto"/>
              <w:ind w:left="126"/>
              <w:jc w:val="center"/>
              <w:rPr>
                <w:rStyle w:val="Hyperlink"/>
                <w:lang w:eastAsia="fr-BE"/>
              </w:rPr>
            </w:pPr>
            <w:hyperlink r:id="rId14" w:history="1">
              <w:r>
                <w:rPr>
                  <w:rStyle w:val="Hyperlink"/>
                  <w:i/>
                  <w:iCs/>
                  <w:sz w:val="20"/>
                  <w:szCs w:val="20"/>
                </w:rPr>
                <w:t>www.cfe-eutax.org</w:t>
              </w:r>
            </w:hyperlink>
          </w:p>
          <w:p w:rsidR="00821928" w:rsidRDefault="00821928">
            <w:pPr>
              <w:pStyle w:val="Lijstalinea"/>
              <w:spacing w:line="276" w:lineRule="auto"/>
              <w:ind w:left="126"/>
              <w:jc w:val="center"/>
              <w:rPr>
                <w:rStyle w:val="Hyperlink"/>
                <w:i/>
                <w:iCs/>
                <w:sz w:val="20"/>
                <w:szCs w:val="20"/>
              </w:rPr>
            </w:pPr>
          </w:p>
          <w:p w:rsidR="00821928" w:rsidRDefault="00821928">
            <w:pPr>
              <w:pStyle w:val="Lijstalinea"/>
              <w:spacing w:line="276" w:lineRule="auto"/>
              <w:ind w:left="126"/>
              <w:jc w:val="center"/>
              <w:rPr>
                <w:lang w:val="en-US" w:eastAsia="fr-BE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Follow us on</w:t>
            </w:r>
            <w:r>
              <w:rPr>
                <w:i/>
                <w:iCs/>
                <w:color w:val="FF0000"/>
                <w:sz w:val="20"/>
                <w:szCs w:val="20"/>
                <w:lang w:val="en-US"/>
              </w:rPr>
              <w:t xml:space="preserve"> </w:t>
            </w:r>
            <w:hyperlink r:id="rId15" w:history="1">
              <w:r>
                <w:rPr>
                  <w:rStyle w:val="Hyperlink"/>
                  <w:sz w:val="20"/>
                  <w:szCs w:val="20"/>
                  <w:lang w:val="en-US"/>
                </w:rPr>
                <w:t>Linked in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86E9400" wp14:editId="0530A470">
                  <wp:extent cx="200025" cy="190500"/>
                  <wp:effectExtent l="0" t="0" r="9525" b="0"/>
                  <wp:docPr id="1" name="Afbeelding 1" descr="cid:image004.png@01CFAA5C.15EA1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4.png@01CFAA5C.15EA1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21928" w:rsidTr="00821928">
        <w:trPr>
          <w:trHeight w:val="20"/>
          <w:tblCellSpacing w:w="0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p w:rsidR="00821928" w:rsidRDefault="00821928">
            <w:pPr>
              <w:spacing w:line="276" w:lineRule="auto"/>
              <w:jc w:val="both"/>
              <w:rPr>
                <w:rFonts w:ascii="Calibri" w:hAnsi="Calibri"/>
                <w:sz w:val="2"/>
                <w:szCs w:val="20"/>
                <w:lang w:val="en-US" w:eastAsia="fr-BE"/>
              </w:rPr>
            </w:pPr>
          </w:p>
        </w:tc>
      </w:tr>
    </w:tbl>
    <w:p w:rsidR="00821928" w:rsidRDefault="00821928" w:rsidP="00821928">
      <w:pPr>
        <w:rPr>
          <w:rFonts w:ascii="Calibri" w:hAnsi="Calibri"/>
          <w:color w:val="1F497D"/>
          <w:sz w:val="22"/>
          <w:szCs w:val="22"/>
          <w:lang w:val="en-GB" w:eastAsia="en-US"/>
        </w:rPr>
      </w:pPr>
    </w:p>
    <w:p w:rsidR="00667086" w:rsidRDefault="00667086"/>
    <w:sectPr w:rsidR="0066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28"/>
    <w:rsid w:val="00667086"/>
    <w:rsid w:val="0082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192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2192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21928"/>
    <w:pPr>
      <w:ind w:left="720"/>
    </w:pPr>
    <w:rPr>
      <w:rFonts w:ascii="Calibri" w:hAnsi="Calibri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19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1928"/>
    <w:rPr>
      <w:rFonts w:ascii="Tahom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192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2192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21928"/>
    <w:pPr>
      <w:ind w:left="720"/>
    </w:pPr>
    <w:rPr>
      <w:rFonts w:ascii="Calibri" w:hAnsi="Calibri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19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1928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eu/rapid/press-release_MEMO-15-4489_en.htm" TargetMode="External"/><Relationship Id="rId13" Type="http://schemas.openxmlformats.org/officeDocument/2006/relationships/hyperlink" Target="http://www.europarl.europa.eu/sides/getDoc.do?pubRef=-//EP//TEXT+TA+P8-TA-2015-0039+0+DOC+XML+V0//EN&amp;language=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uria.europa.eu/juris/document/document.jsf?text=&amp;docid=162422&amp;pageIndex=0&amp;doclang=EN&amp;mode=lst&amp;dir=&amp;occ=first&amp;part=1&amp;cid=134501" TargetMode="External"/><Relationship Id="rId12" Type="http://schemas.openxmlformats.org/officeDocument/2006/relationships/hyperlink" Target="http://www.europarl.europa.eu/news/en/news-room/content/20150226IPR27802/html/Alain-Lamassoure-elected-chair-of-Special-Committee-on-Tax-Rulings" TargetMode="External"/><Relationship Id="rId17" Type="http://schemas.openxmlformats.org/officeDocument/2006/relationships/image" Target="cid:image004.png@01CFAA5C.15EA181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image" Target="cid:image002.jpg@01D054F1.A7905550" TargetMode="External"/><Relationship Id="rId11" Type="http://schemas.openxmlformats.org/officeDocument/2006/relationships/hyperlink" Target="http://europa.eu/rapid/press-release_IP-15-4495_en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inkedin.com/company/confederation-fiscal-europeene?trk=company_name" TargetMode="External"/><Relationship Id="rId10" Type="http://schemas.openxmlformats.org/officeDocument/2006/relationships/hyperlink" Target="http://europa.eu/rapid/press-release_MEMO-15-4489_en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uropa.eu/rapid/press-release_IP-15-4493_en.htm" TargetMode="External"/><Relationship Id="rId14" Type="http://schemas.openxmlformats.org/officeDocument/2006/relationships/hyperlink" Target="http://www.cfe-eutax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CE11077A</Template>
  <TotalTime>1</TotalTime>
  <Pages>2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Baykal</dc:creator>
  <cp:lastModifiedBy>Nalan Baykal</cp:lastModifiedBy>
  <cp:revision>1</cp:revision>
  <dcterms:created xsi:type="dcterms:W3CDTF">2015-03-02T13:12:00Z</dcterms:created>
  <dcterms:modified xsi:type="dcterms:W3CDTF">2015-03-02T13:13:00Z</dcterms:modified>
</cp:coreProperties>
</file>