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BF73A4" w:rsidTr="00BF73A4">
        <w:trPr>
          <w:trHeight w:val="1924"/>
          <w:tblCellSpacing w:w="0" w:type="dxa"/>
        </w:trPr>
        <w:tc>
          <w:tcPr>
            <w:tcW w:w="1017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BF73A4">
              <w:trPr>
                <w:trHeight w:val="76"/>
                <w:tblCellSpacing w:w="0" w:type="dxa"/>
              </w:trPr>
              <w:tc>
                <w:tcPr>
                  <w:tcW w:w="9094" w:type="dxa"/>
                  <w:vAlign w:val="center"/>
                  <w:hideMark/>
                </w:tcPr>
                <w:p w:rsidR="00BF73A4" w:rsidRDefault="00BF73A4">
                  <w:pPr>
                    <w:spacing w:line="76" w:lineRule="atLeast"/>
                    <w:jc w:val="both"/>
                    <w:rPr>
                      <w:rFonts w:ascii="Calibri" w:hAnsi="Calibri"/>
                      <w:sz w:val="20"/>
                      <w:szCs w:val="20"/>
                      <w:lang w:val="en-GB" w:eastAsia="en-US"/>
                    </w:rPr>
                  </w:pPr>
                  <w:bookmarkStart w:id="0" w:name="_GoBack"/>
                  <w:bookmarkEnd w:id="0"/>
                  <w:r>
                    <w:rPr>
                      <w:rFonts w:ascii="Calibri" w:hAnsi="Calibri"/>
                      <w:noProof/>
                      <w:sz w:val="20"/>
                      <w:szCs w:val="20"/>
                    </w:rPr>
                    <w:drawing>
                      <wp:inline distT="0" distB="0" distL="0" distR="0" wp14:anchorId="52B1E461" wp14:editId="0D934850">
                        <wp:extent cx="5762625" cy="666750"/>
                        <wp:effectExtent l="0" t="0" r="9525" b="0"/>
                        <wp:docPr id="2" name="Afbeelding 2" descr="cid:image001.jpg@01D04F74.3100A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04F74.3100A1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BF73A4" w:rsidRDefault="00BF73A4">
                  <w:pPr>
                    <w:spacing w:line="276" w:lineRule="auto"/>
                    <w:jc w:val="both"/>
                    <w:rPr>
                      <w:rFonts w:ascii="Calibri" w:hAnsi="Calibri"/>
                      <w:color w:val="ACABAB"/>
                      <w:sz w:val="20"/>
                      <w:szCs w:val="20"/>
                      <w:lang w:val="en-GB" w:eastAsia="en-US"/>
                    </w:rPr>
                  </w:pPr>
                </w:p>
                <w:p w:rsidR="00BF73A4" w:rsidRDefault="00BF73A4">
                  <w:pPr>
                    <w:spacing w:line="76" w:lineRule="atLeast"/>
                    <w:jc w:val="both"/>
                    <w:rPr>
                      <w:rFonts w:ascii="Calibri" w:hAnsi="Calibri"/>
                      <w:color w:val="ACABAB"/>
                      <w:sz w:val="20"/>
                      <w:szCs w:val="20"/>
                      <w:lang w:val="en-GB" w:eastAsia="en-US"/>
                    </w:rPr>
                  </w:pPr>
                </w:p>
              </w:tc>
            </w:tr>
          </w:tbl>
          <w:p w:rsidR="00BF73A4" w:rsidRDefault="00BF73A4">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BF73A4" w:rsidRDefault="00BF73A4">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BF73A4" w:rsidRDefault="00BF73A4">
            <w:pPr>
              <w:shd w:val="clear" w:color="auto" w:fill="FEFEFE"/>
              <w:spacing w:line="276" w:lineRule="auto"/>
              <w:ind w:left="7371"/>
              <w:jc w:val="both"/>
              <w:rPr>
                <w:rFonts w:ascii="Calibri" w:hAnsi="Calibri"/>
                <w:b/>
                <w:bCs/>
                <w:color w:val="000000"/>
                <w:sz w:val="20"/>
                <w:szCs w:val="20"/>
                <w:lang w:val="en" w:eastAsia="en-US"/>
              </w:rPr>
            </w:pPr>
            <w:r>
              <w:rPr>
                <w:rFonts w:ascii="Calibri" w:hAnsi="Calibri"/>
                <w:b/>
                <w:bCs/>
                <w:color w:val="000000"/>
                <w:sz w:val="20"/>
                <w:szCs w:val="20"/>
                <w:lang w:val="en" w:eastAsia="en-US"/>
              </w:rPr>
              <w:t>    23 February 2015</w:t>
            </w:r>
          </w:p>
          <w:p w:rsidR="00BF73A4" w:rsidRDefault="00BF73A4">
            <w:pPr>
              <w:pStyle w:val="Lijstalinea"/>
              <w:spacing w:line="276" w:lineRule="auto"/>
              <w:ind w:left="1069"/>
              <w:jc w:val="both"/>
              <w:rPr>
                <w:sz w:val="20"/>
                <w:szCs w:val="20"/>
                <w:lang w:val="en-GB" w:eastAsia="en-US"/>
              </w:rPr>
            </w:pPr>
          </w:p>
          <w:p w:rsidR="00BF73A4" w:rsidRDefault="00BF73A4">
            <w:pPr>
              <w:pStyle w:val="Lijstalinea"/>
              <w:spacing w:line="276" w:lineRule="auto"/>
              <w:ind w:left="709"/>
              <w:jc w:val="both"/>
              <w:rPr>
                <w:sz w:val="20"/>
                <w:szCs w:val="20"/>
                <w:lang w:val="en-GB" w:eastAsia="en-US"/>
              </w:rPr>
            </w:pPr>
          </w:p>
          <w:p w:rsidR="00BF73A4" w:rsidRDefault="00BF73A4">
            <w:pPr>
              <w:pStyle w:val="Lijstalinea"/>
              <w:spacing w:line="276" w:lineRule="auto"/>
              <w:ind w:hanging="360"/>
              <w:jc w:val="both"/>
              <w:rPr>
                <w:b/>
                <w:bCs/>
                <w:sz w:val="20"/>
                <w:szCs w:val="20"/>
                <w:lang w:val="en-GB" w:eastAsia="en-US"/>
              </w:rPr>
            </w:pPr>
            <w:r>
              <w:rPr>
                <w:b/>
                <w:bCs/>
                <w:sz w:val="20"/>
                <w:szCs w:val="20"/>
                <w:lang w:val="en-GB" w:eastAsia="en-US"/>
              </w:rPr>
              <w:t>1.</w:t>
            </w:r>
            <w:r>
              <w:rPr>
                <w:rFonts w:ascii="Times New Roman" w:hAnsi="Times New Roman"/>
                <w:b/>
                <w:bCs/>
                <w:sz w:val="14"/>
                <w:szCs w:val="14"/>
                <w:lang w:val="en-GB" w:eastAsia="en-US"/>
              </w:rPr>
              <w:t xml:space="preserve">       </w:t>
            </w:r>
            <w:r>
              <w:rPr>
                <w:b/>
                <w:bCs/>
                <w:sz w:val="20"/>
                <w:szCs w:val="20"/>
                <w:lang w:val="en-GB" w:eastAsia="en-US"/>
              </w:rPr>
              <w:t>Commission announces (legislative) tax transparency package</w:t>
            </w:r>
          </w:p>
          <w:p w:rsidR="00BF73A4" w:rsidRDefault="00BF73A4">
            <w:pPr>
              <w:spacing w:line="276" w:lineRule="auto"/>
              <w:jc w:val="both"/>
              <w:rPr>
                <w:rFonts w:ascii="Calibri" w:hAnsi="Calibri"/>
                <w:sz w:val="20"/>
                <w:szCs w:val="20"/>
                <w:lang w:val="en-GB" w:eastAsia="en-US"/>
              </w:rPr>
            </w:pPr>
          </w:p>
          <w:p w:rsidR="00BF73A4" w:rsidRDefault="00BF73A4">
            <w:pPr>
              <w:spacing w:line="276" w:lineRule="auto"/>
              <w:ind w:left="567" w:right="171"/>
              <w:jc w:val="both"/>
              <w:rPr>
                <w:rFonts w:ascii="Calibri" w:hAnsi="Calibri"/>
                <w:sz w:val="20"/>
                <w:szCs w:val="20"/>
                <w:lang w:val="en-GB" w:eastAsia="en-US"/>
              </w:rPr>
            </w:pPr>
            <w:r>
              <w:rPr>
                <w:rFonts w:ascii="Calibri" w:hAnsi="Calibri"/>
                <w:sz w:val="20"/>
                <w:szCs w:val="20"/>
                <w:lang w:val="en-GB" w:eastAsia="en-US"/>
              </w:rPr>
              <w:t>On 18 February 2015, the European Commission has announced legislation on the automatic exchange of information on tax rulings and other measures to increase tax transparency for March 2015. A second package of measures dealing with fair and efficient corporate taxation is to be expected this summer, which will also take into account current initiatives by the G20 and OECD to tackle tax avoidance.</w:t>
            </w:r>
          </w:p>
          <w:p w:rsidR="00BF73A4" w:rsidRDefault="00BF73A4">
            <w:pPr>
              <w:spacing w:line="276" w:lineRule="auto"/>
              <w:ind w:left="567"/>
              <w:jc w:val="both"/>
              <w:rPr>
                <w:rFonts w:ascii="Calibri" w:hAnsi="Calibri"/>
                <w:sz w:val="20"/>
                <w:szCs w:val="20"/>
                <w:lang w:val="en-GB" w:eastAsia="en-US"/>
              </w:rPr>
            </w:pPr>
          </w:p>
          <w:p w:rsidR="00BF73A4" w:rsidRDefault="00BF73A4">
            <w:pPr>
              <w:pStyle w:val="Lijstalinea"/>
              <w:spacing w:line="276" w:lineRule="auto"/>
              <w:ind w:left="1069"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eastAsia="en-US"/>
              </w:rPr>
              <w:t xml:space="preserve">Press release : </w:t>
            </w:r>
            <w:hyperlink r:id="rId7" w:history="1">
              <w:r>
                <w:rPr>
                  <w:rStyle w:val="Hyperlink"/>
                  <w:sz w:val="20"/>
                  <w:szCs w:val="20"/>
                  <w:lang w:eastAsia="en-US"/>
                </w:rPr>
                <w:t>EN</w:t>
              </w:r>
            </w:hyperlink>
            <w:r>
              <w:rPr>
                <w:sz w:val="20"/>
                <w:szCs w:val="20"/>
                <w:lang w:eastAsia="en-US"/>
              </w:rPr>
              <w:t xml:space="preserve"> (</w:t>
            </w:r>
            <w:proofErr w:type="spellStart"/>
            <w:r>
              <w:rPr>
                <w:sz w:val="20"/>
                <w:szCs w:val="20"/>
                <w:lang w:eastAsia="en-US"/>
              </w:rPr>
              <w:t>all</w:t>
            </w:r>
            <w:proofErr w:type="spellEnd"/>
            <w:r>
              <w:rPr>
                <w:sz w:val="20"/>
                <w:szCs w:val="20"/>
                <w:lang w:eastAsia="en-US"/>
              </w:rPr>
              <w:t xml:space="preserve"> EU </w:t>
            </w:r>
            <w:proofErr w:type="spellStart"/>
            <w:r>
              <w:rPr>
                <w:sz w:val="20"/>
                <w:szCs w:val="20"/>
                <w:lang w:eastAsia="en-US"/>
              </w:rPr>
              <w:t>languages</w:t>
            </w:r>
            <w:proofErr w:type="spellEnd"/>
            <w:r>
              <w:rPr>
                <w:sz w:val="20"/>
                <w:szCs w:val="20"/>
                <w:lang w:eastAsia="en-US"/>
              </w:rPr>
              <w:t>)</w:t>
            </w:r>
          </w:p>
          <w:p w:rsidR="00BF73A4" w:rsidRDefault="00BF73A4">
            <w:pPr>
              <w:spacing w:line="276" w:lineRule="auto"/>
              <w:jc w:val="both"/>
              <w:rPr>
                <w:rFonts w:ascii="Calibri" w:hAnsi="Calibri"/>
                <w:sz w:val="20"/>
                <w:szCs w:val="20"/>
                <w:lang w:val="en" w:eastAsia="en-US"/>
              </w:rPr>
            </w:pPr>
          </w:p>
          <w:p w:rsidR="00BF73A4" w:rsidRDefault="00BF73A4">
            <w:pPr>
              <w:pStyle w:val="Lijstalinea"/>
              <w:spacing w:line="276" w:lineRule="auto"/>
              <w:ind w:hanging="360"/>
              <w:jc w:val="both"/>
              <w:rPr>
                <w:b/>
                <w:bCs/>
                <w:sz w:val="20"/>
                <w:szCs w:val="20"/>
                <w:lang w:val="en-GB" w:eastAsia="en-US"/>
              </w:rPr>
            </w:pPr>
            <w:r>
              <w:rPr>
                <w:b/>
                <w:bCs/>
                <w:sz w:val="20"/>
                <w:szCs w:val="20"/>
                <w:lang w:val="en-GB" w:eastAsia="en-US"/>
              </w:rPr>
              <w:t>2.</w:t>
            </w:r>
            <w:r>
              <w:rPr>
                <w:rFonts w:ascii="Times New Roman" w:hAnsi="Times New Roman"/>
                <w:b/>
                <w:bCs/>
                <w:sz w:val="14"/>
                <w:szCs w:val="14"/>
                <w:lang w:val="en-GB" w:eastAsia="en-US"/>
              </w:rPr>
              <w:t xml:space="preserve">       </w:t>
            </w:r>
            <w:r>
              <w:rPr>
                <w:b/>
                <w:bCs/>
                <w:sz w:val="20"/>
                <w:szCs w:val="20"/>
                <w:lang w:val="en-GB" w:eastAsia="en-US"/>
              </w:rPr>
              <w:t>Commission renews mandate for VAT Forum expert group</w:t>
            </w:r>
          </w:p>
          <w:p w:rsidR="00BF73A4" w:rsidRDefault="00BF73A4">
            <w:pPr>
              <w:spacing w:line="276" w:lineRule="auto"/>
              <w:jc w:val="both"/>
              <w:rPr>
                <w:rFonts w:ascii="Calibri" w:hAnsi="Calibri"/>
                <w:sz w:val="20"/>
                <w:szCs w:val="20"/>
                <w:lang w:val="en-GB" w:eastAsia="en-US"/>
              </w:rPr>
            </w:pPr>
          </w:p>
          <w:p w:rsidR="00BF73A4" w:rsidRDefault="00BF73A4">
            <w:pPr>
              <w:spacing w:line="276" w:lineRule="auto"/>
              <w:ind w:left="567" w:right="141"/>
              <w:jc w:val="both"/>
              <w:rPr>
                <w:rFonts w:ascii="Calibri" w:hAnsi="Calibri"/>
                <w:sz w:val="20"/>
                <w:szCs w:val="20"/>
                <w:lang w:val="en-GB" w:eastAsia="en-US"/>
              </w:rPr>
            </w:pPr>
            <w:r>
              <w:rPr>
                <w:rFonts w:ascii="Calibri" w:hAnsi="Calibri"/>
                <w:sz w:val="20"/>
                <w:szCs w:val="20"/>
                <w:lang w:val="en-GB" w:eastAsia="en-US"/>
              </w:rPr>
              <w:t>On 20 February 2015, the European Commission issued a call for applications for the second three-year term of the EU VAT Forum, an expert group of industry, tax practitioner and member states representatives tasked with finding practical, non-legislative solutions to cross-border VAT problems, e.g. a more efficient use of IT technology, the fight against fraud and the reduction of administrative burden. The current mandate of the VAT Forum in which CFE is also active will expire in September 2015.</w:t>
            </w:r>
          </w:p>
          <w:p w:rsidR="00BF73A4" w:rsidRDefault="00BF73A4">
            <w:pPr>
              <w:spacing w:line="276" w:lineRule="auto"/>
              <w:ind w:left="567" w:right="141"/>
              <w:jc w:val="both"/>
              <w:rPr>
                <w:rFonts w:ascii="Calibri" w:hAnsi="Calibri"/>
                <w:sz w:val="20"/>
                <w:szCs w:val="20"/>
                <w:lang w:val="en-GB" w:eastAsia="en-US"/>
              </w:rPr>
            </w:pPr>
          </w:p>
          <w:p w:rsidR="00BF73A4" w:rsidRDefault="00BF73A4">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hyperlink r:id="rId8" w:history="1">
              <w:r>
                <w:rPr>
                  <w:rStyle w:val="Hyperlink"/>
                  <w:sz w:val="20"/>
                  <w:szCs w:val="20"/>
                  <w:lang w:val="en-GB" w:eastAsia="en-US"/>
                </w:rPr>
                <w:t>call for applications</w:t>
              </w:r>
            </w:hyperlink>
            <w:r>
              <w:rPr>
                <w:sz w:val="20"/>
                <w:szCs w:val="20"/>
                <w:lang w:eastAsia="en-US"/>
              </w:rPr>
              <w:t xml:space="preserve"> </w:t>
            </w:r>
          </w:p>
          <w:p w:rsidR="00BF73A4" w:rsidRDefault="00BF73A4">
            <w:pPr>
              <w:pStyle w:val="Lijstalinea"/>
              <w:spacing w:line="276" w:lineRule="auto"/>
              <w:ind w:hanging="360"/>
              <w:jc w:val="both"/>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 xml:space="preserve">Information on the EU VAT Forum: </w:t>
            </w:r>
            <w:hyperlink r:id="rId9" w:history="1">
              <w:r>
                <w:rPr>
                  <w:rStyle w:val="Hyperlink"/>
                  <w:sz w:val="20"/>
                  <w:szCs w:val="20"/>
                  <w:lang w:eastAsia="en-US"/>
                </w:rPr>
                <w:t>EN/DE/FR</w:t>
              </w:r>
            </w:hyperlink>
          </w:p>
          <w:p w:rsidR="00BF73A4" w:rsidRDefault="00BF73A4">
            <w:pPr>
              <w:spacing w:line="276" w:lineRule="auto"/>
              <w:jc w:val="both"/>
              <w:rPr>
                <w:rFonts w:ascii="Calibri" w:hAnsi="Calibri"/>
                <w:sz w:val="20"/>
                <w:szCs w:val="20"/>
                <w:lang w:eastAsia="en-US"/>
              </w:rPr>
            </w:pPr>
          </w:p>
          <w:p w:rsidR="00BF73A4" w:rsidRDefault="00BF73A4">
            <w:pPr>
              <w:pStyle w:val="Lijstalinea"/>
              <w:spacing w:line="276" w:lineRule="auto"/>
              <w:ind w:hanging="360"/>
              <w:jc w:val="both"/>
              <w:rPr>
                <w:b/>
                <w:bCs/>
                <w:sz w:val="20"/>
                <w:szCs w:val="20"/>
                <w:lang w:val="en-GB" w:eastAsia="en-US"/>
              </w:rPr>
            </w:pPr>
            <w:r>
              <w:rPr>
                <w:b/>
                <w:bCs/>
                <w:sz w:val="20"/>
                <w:szCs w:val="20"/>
                <w:lang w:val="en-GB" w:eastAsia="en-US"/>
              </w:rPr>
              <w:t>3.</w:t>
            </w:r>
            <w:r>
              <w:rPr>
                <w:rFonts w:ascii="Times New Roman" w:hAnsi="Times New Roman"/>
                <w:b/>
                <w:bCs/>
                <w:sz w:val="14"/>
                <w:szCs w:val="14"/>
                <w:lang w:val="en-GB" w:eastAsia="en-US"/>
              </w:rPr>
              <w:t xml:space="preserve">       </w:t>
            </w:r>
            <w:r>
              <w:rPr>
                <w:b/>
                <w:bCs/>
                <w:sz w:val="20"/>
                <w:szCs w:val="20"/>
                <w:lang w:val="en-GB" w:eastAsia="en-US"/>
              </w:rPr>
              <w:t>EU VAT Committee publishes guideline on VAT refund for non-taxable persons registered for a MOSS</w:t>
            </w:r>
          </w:p>
          <w:p w:rsidR="00BF73A4" w:rsidRDefault="00BF73A4">
            <w:pPr>
              <w:spacing w:line="276" w:lineRule="auto"/>
              <w:ind w:left="709"/>
              <w:jc w:val="both"/>
              <w:rPr>
                <w:rFonts w:ascii="Calibri" w:hAnsi="Calibri"/>
                <w:sz w:val="20"/>
                <w:szCs w:val="20"/>
                <w:lang w:val="en-GB" w:eastAsia="en-US"/>
              </w:rPr>
            </w:pPr>
          </w:p>
          <w:p w:rsidR="00BF73A4" w:rsidRDefault="00BF73A4">
            <w:pPr>
              <w:spacing w:line="276" w:lineRule="auto"/>
              <w:ind w:left="709"/>
              <w:jc w:val="both"/>
              <w:rPr>
                <w:rFonts w:ascii="Calibri" w:hAnsi="Calibri"/>
                <w:sz w:val="20"/>
                <w:szCs w:val="20"/>
                <w:lang w:val="en-GB" w:eastAsia="en-US"/>
              </w:rPr>
            </w:pPr>
            <w:r>
              <w:rPr>
                <w:rFonts w:ascii="Calibri" w:hAnsi="Calibri"/>
                <w:sz w:val="20"/>
                <w:szCs w:val="20"/>
                <w:lang w:val="en-GB" w:eastAsia="en-US"/>
              </w:rPr>
              <w:t>On 16 February 2015, the EU VAT Committee updated its list of guidelines, including, inter alia, guidance on the right to VAT refund for non-taxable persons registered with a “mini-one-stop-shop” and on the use of the refund application, adopted unanimously at the latest VAT Committee meeting on 31 October 2014. The VAT Committee consists of representatives from all EU member states; it issues non-binding guidelines.</w:t>
            </w:r>
          </w:p>
          <w:p w:rsidR="00BF73A4" w:rsidRDefault="00BF73A4">
            <w:pPr>
              <w:spacing w:line="276" w:lineRule="auto"/>
              <w:jc w:val="both"/>
              <w:rPr>
                <w:rFonts w:ascii="Calibri" w:hAnsi="Calibri"/>
                <w:sz w:val="20"/>
                <w:szCs w:val="20"/>
                <w:lang w:val="en-GB" w:eastAsia="en-US"/>
              </w:rPr>
            </w:pPr>
          </w:p>
          <w:p w:rsidR="00BF73A4" w:rsidRDefault="00BF73A4">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All guidelines: </w:t>
            </w:r>
            <w:hyperlink r:id="rId10" w:history="1">
              <w:r>
                <w:rPr>
                  <w:rStyle w:val="Hyperlink"/>
                  <w:sz w:val="20"/>
                  <w:szCs w:val="20"/>
                  <w:lang w:val="en-GB" w:eastAsia="en-US"/>
                </w:rPr>
                <w:t>EN/DE/FR</w:t>
              </w:r>
            </w:hyperlink>
            <w:r>
              <w:rPr>
                <w:sz w:val="20"/>
                <w:szCs w:val="20"/>
                <w:lang w:val="en-GB" w:eastAsia="en-US"/>
              </w:rPr>
              <w:t xml:space="preserve"> (see page 180 for MOSS guideline)</w:t>
            </w:r>
          </w:p>
          <w:p w:rsidR="00BF73A4" w:rsidRDefault="00BF73A4">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r>
              <w:rPr>
                <w:sz w:val="20"/>
                <w:szCs w:val="20"/>
                <w:lang w:val="en-GB" w:eastAsia="en-US"/>
              </w:rPr>
              <w:t xml:space="preserve">More information on the EU VAT Committee and its guidelines: </w:t>
            </w:r>
            <w:hyperlink r:id="rId11" w:history="1">
              <w:r>
                <w:rPr>
                  <w:rStyle w:val="Hyperlink"/>
                  <w:sz w:val="20"/>
                  <w:szCs w:val="20"/>
                  <w:lang w:val="en-GB" w:eastAsia="en-US"/>
                </w:rPr>
                <w:t>EN/DE/FR</w:t>
              </w:r>
            </w:hyperlink>
          </w:p>
          <w:p w:rsidR="00BF73A4" w:rsidRDefault="00BF73A4">
            <w:pPr>
              <w:spacing w:line="276" w:lineRule="auto"/>
              <w:rPr>
                <w:rFonts w:ascii="Calibri" w:hAnsi="Calibri"/>
                <w:sz w:val="20"/>
                <w:szCs w:val="20"/>
                <w:lang w:val="en-GB" w:eastAsia="en-US"/>
              </w:rPr>
            </w:pPr>
          </w:p>
          <w:p w:rsidR="00BF73A4" w:rsidRDefault="00BF73A4">
            <w:pPr>
              <w:spacing w:line="276" w:lineRule="auto"/>
              <w:rPr>
                <w:rFonts w:ascii="Calibri" w:hAnsi="Calibri"/>
                <w:sz w:val="20"/>
                <w:szCs w:val="20"/>
                <w:lang w:val="en-GB" w:eastAsia="en-US"/>
              </w:rPr>
            </w:pPr>
          </w:p>
          <w:p w:rsidR="00BF73A4" w:rsidRDefault="00BF73A4">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BF73A4" w:rsidRDefault="00BF73A4">
            <w:pPr>
              <w:spacing w:line="276" w:lineRule="auto"/>
              <w:jc w:val="both"/>
              <w:rPr>
                <w:rFonts w:ascii="Calibri" w:hAnsi="Calibri"/>
                <w:sz w:val="20"/>
                <w:szCs w:val="20"/>
                <w:lang w:val="en-GB" w:eastAsia="en-US"/>
              </w:rPr>
            </w:pPr>
          </w:p>
          <w:p w:rsidR="00BF73A4" w:rsidRDefault="00BF73A4">
            <w:pPr>
              <w:spacing w:line="276" w:lineRule="auto"/>
              <w:rPr>
                <w:rFonts w:ascii="Calibri" w:hAnsi="Calibri"/>
                <w:i/>
                <w:iCs/>
                <w:sz w:val="20"/>
                <w:szCs w:val="20"/>
                <w:lang w:val="en-GB" w:eastAsia="en-US"/>
              </w:rPr>
            </w:pPr>
            <w:r>
              <w:rPr>
                <w:rFonts w:ascii="Calibri" w:hAnsi="Calibri"/>
                <w:i/>
                <w:iCs/>
                <w:sz w:val="20"/>
                <w:szCs w:val="20"/>
                <w:lang w:val="en-GB" w:eastAsia="en-US"/>
              </w:rPr>
              <w:t xml:space="preserve">The selection of the remitted material has been prepared by </w:t>
            </w:r>
            <w:proofErr w:type="spellStart"/>
            <w:r>
              <w:rPr>
                <w:rFonts w:ascii="Calibri" w:hAnsi="Calibri"/>
                <w:i/>
                <w:iCs/>
                <w:sz w:val="20"/>
                <w:szCs w:val="20"/>
                <w:lang w:val="en-GB" w:eastAsia="en-US"/>
              </w:rPr>
              <w:t>Piergiorgio</w:t>
            </w:r>
            <w:proofErr w:type="spellEnd"/>
            <w:r>
              <w:rPr>
                <w:rFonts w:ascii="Calibri" w:hAnsi="Calibri"/>
                <w:i/>
                <w:iCs/>
                <w:sz w:val="20"/>
                <w:szCs w:val="20"/>
                <w:lang w:val="en-GB" w:eastAsia="en-US"/>
              </w:rPr>
              <w:t xml:space="preserve"> Valente / </w:t>
            </w:r>
            <w:proofErr w:type="spellStart"/>
            <w:r>
              <w:rPr>
                <w:rFonts w:ascii="Calibri" w:hAnsi="Calibri"/>
                <w:i/>
                <w:iCs/>
                <w:sz w:val="20"/>
                <w:szCs w:val="20"/>
                <w:lang w:val="en-GB" w:eastAsia="en-US"/>
              </w:rPr>
              <w:t>Filipa</w:t>
            </w:r>
            <w:proofErr w:type="spellEnd"/>
            <w:r>
              <w:rPr>
                <w:rFonts w:ascii="Calibri" w:hAnsi="Calibri"/>
                <w:i/>
                <w:iCs/>
                <w:sz w:val="20"/>
                <w:szCs w:val="20"/>
                <w:lang w:val="en-GB" w:eastAsia="en-US"/>
              </w:rPr>
              <w:t xml:space="preserve"> </w:t>
            </w:r>
            <w:proofErr w:type="spellStart"/>
            <w:r>
              <w:rPr>
                <w:rFonts w:ascii="Calibri" w:hAnsi="Calibri"/>
                <w:i/>
                <w:iCs/>
                <w:sz w:val="20"/>
                <w:szCs w:val="20"/>
                <w:lang w:val="en-GB" w:eastAsia="en-US"/>
              </w:rPr>
              <w:t>Correia</w:t>
            </w:r>
            <w:proofErr w:type="spellEnd"/>
            <w:r>
              <w:rPr>
                <w:rFonts w:ascii="Calibri" w:hAnsi="Calibri"/>
                <w:i/>
                <w:iCs/>
                <w:sz w:val="20"/>
                <w:szCs w:val="20"/>
                <w:lang w:val="en-GB" w:eastAsia="en-US"/>
              </w:rPr>
              <w:t xml:space="preserve"> / Rudolf </w:t>
            </w:r>
            <w:proofErr w:type="spellStart"/>
            <w:r>
              <w:rPr>
                <w:rFonts w:ascii="Calibri" w:hAnsi="Calibri"/>
                <w:i/>
                <w:iCs/>
                <w:sz w:val="20"/>
                <w:szCs w:val="20"/>
                <w:lang w:val="en-GB" w:eastAsia="en-US"/>
              </w:rPr>
              <w:t>Reibel</w:t>
            </w:r>
            <w:proofErr w:type="spellEnd"/>
          </w:p>
          <w:p w:rsidR="00BF73A4" w:rsidRDefault="00BF73A4">
            <w:pPr>
              <w:pStyle w:val="Lijstalinea"/>
              <w:spacing w:line="276" w:lineRule="auto"/>
              <w:ind w:left="126"/>
              <w:jc w:val="center"/>
              <w:rPr>
                <w:i/>
                <w:iCs/>
                <w:sz w:val="20"/>
                <w:szCs w:val="20"/>
                <w:lang w:val="en-GB" w:eastAsia="en-US"/>
              </w:rPr>
            </w:pPr>
          </w:p>
          <w:p w:rsidR="00BF73A4" w:rsidRDefault="00BF73A4">
            <w:pPr>
              <w:pStyle w:val="Lijstalinea"/>
              <w:spacing w:line="276" w:lineRule="auto"/>
              <w:ind w:left="126"/>
              <w:jc w:val="center"/>
              <w:rPr>
                <w:rStyle w:val="Hyperlink"/>
                <w:lang w:val="en-US"/>
              </w:rPr>
            </w:pPr>
            <w:hyperlink r:id="rId12" w:history="1">
              <w:r>
                <w:rPr>
                  <w:rStyle w:val="Hyperlink"/>
                  <w:i/>
                  <w:iCs/>
                  <w:sz w:val="20"/>
                  <w:szCs w:val="20"/>
                  <w:lang w:val="en-GB" w:eastAsia="en-US"/>
                </w:rPr>
                <w:t>www.cfe-eutax.org</w:t>
              </w:r>
            </w:hyperlink>
          </w:p>
          <w:p w:rsidR="00BF73A4" w:rsidRDefault="00BF73A4">
            <w:pPr>
              <w:pStyle w:val="Lijstalinea"/>
              <w:spacing w:line="276" w:lineRule="auto"/>
              <w:ind w:left="126"/>
              <w:jc w:val="center"/>
              <w:rPr>
                <w:rStyle w:val="Hyperlink"/>
                <w:i/>
                <w:iCs/>
                <w:sz w:val="20"/>
                <w:szCs w:val="20"/>
                <w:lang w:val="en-GB" w:eastAsia="en-US"/>
              </w:rPr>
            </w:pPr>
          </w:p>
          <w:p w:rsidR="00BF73A4" w:rsidRDefault="00BF73A4">
            <w:pPr>
              <w:pStyle w:val="Lijstalinea"/>
              <w:spacing w:line="276" w:lineRule="auto"/>
              <w:ind w:left="126"/>
              <w:jc w:val="center"/>
              <w:rPr>
                <w:lang w:val="en-US"/>
              </w:rPr>
            </w:pPr>
            <w:r>
              <w:rPr>
                <w:i/>
                <w:iCs/>
                <w:sz w:val="20"/>
                <w:szCs w:val="20"/>
                <w:lang w:val="en-US" w:eastAsia="en-US"/>
              </w:rPr>
              <w:lastRenderedPageBreak/>
              <w:t>Follow us on</w:t>
            </w:r>
            <w:r>
              <w:rPr>
                <w:i/>
                <w:iCs/>
                <w:color w:val="FF0000"/>
                <w:sz w:val="20"/>
                <w:szCs w:val="20"/>
                <w:lang w:val="en-US" w:eastAsia="en-US"/>
              </w:rPr>
              <w:t xml:space="preserve"> </w:t>
            </w:r>
            <w:hyperlink r:id="rId13"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14:anchorId="6649EE31" wp14:editId="3D43B26E">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AA5C.15EA18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eastAsia="en-US"/>
              </w:rPr>
              <w:t> </w:t>
            </w:r>
          </w:p>
        </w:tc>
      </w:tr>
      <w:tr w:rsidR="00BF73A4" w:rsidTr="00BF73A4">
        <w:trPr>
          <w:trHeight w:val="20"/>
          <w:tblCellSpacing w:w="0" w:type="dxa"/>
        </w:trPr>
        <w:tc>
          <w:tcPr>
            <w:tcW w:w="10172" w:type="dxa"/>
            <w:tcBorders>
              <w:top w:val="nil"/>
              <w:left w:val="nil"/>
              <w:bottom w:val="nil"/>
              <w:right w:val="nil"/>
            </w:tcBorders>
            <w:tcMar>
              <w:top w:w="375" w:type="dxa"/>
              <w:left w:w="300" w:type="dxa"/>
              <w:bottom w:w="300" w:type="dxa"/>
              <w:right w:w="300" w:type="dxa"/>
            </w:tcMar>
            <w:vAlign w:val="center"/>
          </w:tcPr>
          <w:p w:rsidR="00BF73A4" w:rsidRDefault="00BF73A4">
            <w:pPr>
              <w:spacing w:line="276" w:lineRule="auto"/>
              <w:jc w:val="both"/>
              <w:rPr>
                <w:rFonts w:ascii="Calibri" w:hAnsi="Calibri"/>
                <w:sz w:val="2"/>
                <w:szCs w:val="20"/>
                <w:lang w:val="en-US" w:eastAsia="en-US"/>
              </w:rPr>
            </w:pPr>
          </w:p>
        </w:tc>
      </w:tr>
    </w:tbl>
    <w:p w:rsidR="00BF73A4" w:rsidRDefault="00BF73A4" w:rsidP="00BF73A4">
      <w:pPr>
        <w:rPr>
          <w:lang w:val="en-US"/>
        </w:rPr>
      </w:pPr>
    </w:p>
    <w:p w:rsidR="00667086" w:rsidRDefault="00667086"/>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A4"/>
    <w:rsid w:val="00667086"/>
    <w:rsid w:val="00BF73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73A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F73A4"/>
    <w:rPr>
      <w:color w:val="0000FF"/>
      <w:u w:val="single"/>
    </w:rPr>
  </w:style>
  <w:style w:type="paragraph" w:styleId="Lijstalinea">
    <w:name w:val="List Paragraph"/>
    <w:basedOn w:val="Standaard"/>
    <w:uiPriority w:val="34"/>
    <w:qFormat/>
    <w:rsid w:val="00BF73A4"/>
    <w:pPr>
      <w:ind w:left="720"/>
    </w:pPr>
    <w:rPr>
      <w:rFonts w:ascii="Calibri" w:hAnsi="Calibri"/>
      <w:sz w:val="22"/>
      <w:szCs w:val="22"/>
    </w:rPr>
  </w:style>
  <w:style w:type="paragraph" w:styleId="Ballontekst">
    <w:name w:val="Balloon Text"/>
    <w:basedOn w:val="Standaard"/>
    <w:link w:val="BallontekstChar"/>
    <w:uiPriority w:val="99"/>
    <w:semiHidden/>
    <w:unhideWhenUsed/>
    <w:rsid w:val="00BF73A4"/>
    <w:rPr>
      <w:rFonts w:ascii="Tahoma" w:hAnsi="Tahoma" w:cs="Tahoma"/>
      <w:sz w:val="16"/>
      <w:szCs w:val="16"/>
    </w:rPr>
  </w:style>
  <w:style w:type="character" w:customStyle="1" w:styleId="BallontekstChar">
    <w:name w:val="Ballontekst Char"/>
    <w:basedOn w:val="Standaardalinea-lettertype"/>
    <w:link w:val="Ballontekst"/>
    <w:uiPriority w:val="99"/>
    <w:semiHidden/>
    <w:rsid w:val="00BF73A4"/>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73A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F73A4"/>
    <w:rPr>
      <w:color w:val="0000FF"/>
      <w:u w:val="single"/>
    </w:rPr>
  </w:style>
  <w:style w:type="paragraph" w:styleId="Lijstalinea">
    <w:name w:val="List Paragraph"/>
    <w:basedOn w:val="Standaard"/>
    <w:uiPriority w:val="34"/>
    <w:qFormat/>
    <w:rsid w:val="00BF73A4"/>
    <w:pPr>
      <w:ind w:left="720"/>
    </w:pPr>
    <w:rPr>
      <w:rFonts w:ascii="Calibri" w:hAnsi="Calibri"/>
      <w:sz w:val="22"/>
      <w:szCs w:val="22"/>
    </w:rPr>
  </w:style>
  <w:style w:type="paragraph" w:styleId="Ballontekst">
    <w:name w:val="Balloon Text"/>
    <w:basedOn w:val="Standaard"/>
    <w:link w:val="BallontekstChar"/>
    <w:uiPriority w:val="99"/>
    <w:semiHidden/>
    <w:unhideWhenUsed/>
    <w:rsid w:val="00BF73A4"/>
    <w:rPr>
      <w:rFonts w:ascii="Tahoma" w:hAnsi="Tahoma" w:cs="Tahoma"/>
      <w:sz w:val="16"/>
      <w:szCs w:val="16"/>
    </w:rPr>
  </w:style>
  <w:style w:type="character" w:customStyle="1" w:styleId="BallontekstChar">
    <w:name w:val="Ballontekst Char"/>
    <w:basedOn w:val="Standaardalinea-lettertype"/>
    <w:link w:val="Ballontekst"/>
    <w:uiPriority w:val="99"/>
    <w:semiHidden/>
    <w:rsid w:val="00BF73A4"/>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resources/documents/taxation/vat/key_documents/eu_vat_forum/call_for_applications.pdf" TargetMode="External"/><Relationship Id="rId13" Type="http://schemas.openxmlformats.org/officeDocument/2006/relationships/hyperlink" Target="http://www.linkedin.com/company/confederation-fiscal-europeene?trk=company_name" TargetMode="External"/><Relationship Id="rId3" Type="http://schemas.openxmlformats.org/officeDocument/2006/relationships/settings" Target="settings.xml"/><Relationship Id="rId7" Type="http://schemas.openxmlformats.org/officeDocument/2006/relationships/hyperlink" Target="http://europa.eu/rapid/press-release_IP-15-4436_en.htm" TargetMode="External"/><Relationship Id="rId12" Type="http://schemas.openxmlformats.org/officeDocument/2006/relationships/hyperlink" Target="http://www.cfe-eutax.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jpg@01D04F74.3100A1B0" TargetMode="External"/><Relationship Id="rId11" Type="http://schemas.openxmlformats.org/officeDocument/2006/relationships/hyperlink" Target="http://ec.europa.eu/taxation_customs/taxation/vat/key_documents/vat_committee/index_en.htm" TargetMode="External"/><Relationship Id="rId5" Type="http://schemas.openxmlformats.org/officeDocument/2006/relationships/image" Target="media/image1.jpeg"/><Relationship Id="rId15" Type="http://schemas.openxmlformats.org/officeDocument/2006/relationships/image" Target="cid:image004.png@01CFAA5C.15EA1810" TargetMode="External"/><Relationship Id="rId10" Type="http://schemas.openxmlformats.org/officeDocument/2006/relationships/hyperlink" Target="http://ec.europa.eu/taxation_customs/resources/documents/taxation/vat/key_documents/vat_committee/guidelines-vat-committee-meetings_xx.pdf" TargetMode="External"/><Relationship Id="rId4" Type="http://schemas.openxmlformats.org/officeDocument/2006/relationships/webSettings" Target="webSettings.xml"/><Relationship Id="rId9" Type="http://schemas.openxmlformats.org/officeDocument/2006/relationships/hyperlink" Target="http://ec.europa.eu/taxation_customs/taxation/vat/key_documents/eu_vat_forum/index_en.htm"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B875E3</Template>
  <TotalTime>2</TotalTime>
  <Pages>2</Pages>
  <Words>452</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2015-02-23T13:40:00Z</dcterms:created>
  <dcterms:modified xsi:type="dcterms:W3CDTF">2015-02-23T13:42:00Z</dcterms:modified>
</cp:coreProperties>
</file>