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10172"/>
      </w:tblGrid>
      <w:tr w:rsidR="007F384C" w:rsidTr="007F384C">
        <w:trPr>
          <w:trHeight w:val="6340"/>
          <w:tblCellSpacing w:w="0" w:type="dxa"/>
        </w:trPr>
        <w:tc>
          <w:tcPr>
            <w:tcW w:w="10172" w:type="dxa"/>
            <w:tcBorders>
              <w:top w:val="nil"/>
              <w:left w:val="nil"/>
              <w:bottom w:val="nil"/>
              <w:right w:val="nil"/>
            </w:tcBorders>
            <w:tcMar>
              <w:top w:w="375" w:type="dxa"/>
              <w:left w:w="300" w:type="dxa"/>
              <w:bottom w:w="300" w:type="dxa"/>
              <w:right w:w="300" w:type="dxa"/>
            </w:tcMar>
            <w:vAlign w:val="center"/>
          </w:tcPr>
          <w:tbl>
            <w:tblPr>
              <w:tblW w:w="9100" w:type="dxa"/>
              <w:tblCellSpacing w:w="0" w:type="dxa"/>
              <w:tblCellMar>
                <w:left w:w="0" w:type="dxa"/>
                <w:right w:w="0" w:type="dxa"/>
              </w:tblCellMar>
              <w:tblLook w:val="04A0" w:firstRow="1" w:lastRow="0" w:firstColumn="1" w:lastColumn="0" w:noHBand="0" w:noVBand="1"/>
            </w:tblPr>
            <w:tblGrid>
              <w:gridCol w:w="9094"/>
              <w:gridCol w:w="6"/>
            </w:tblGrid>
            <w:tr w:rsidR="007F384C">
              <w:trPr>
                <w:trHeight w:val="76"/>
                <w:tblCellSpacing w:w="0" w:type="dxa"/>
              </w:trPr>
              <w:tc>
                <w:tcPr>
                  <w:tcW w:w="9094" w:type="dxa"/>
                  <w:vAlign w:val="center"/>
                  <w:hideMark/>
                </w:tcPr>
                <w:p w:rsidR="007F384C" w:rsidRDefault="007F384C">
                  <w:pPr>
                    <w:spacing w:line="76" w:lineRule="atLeast"/>
                    <w:jc w:val="both"/>
                    <w:rPr>
                      <w:rFonts w:ascii="Calibri" w:hAnsi="Calibri"/>
                      <w:sz w:val="20"/>
                      <w:szCs w:val="20"/>
                      <w:lang w:val="en-GB" w:eastAsia="en-US"/>
                    </w:rPr>
                  </w:pPr>
                  <w:bookmarkStart w:id="0" w:name="_GoBack"/>
                  <w:bookmarkEnd w:id="0"/>
                  <w:r>
                    <w:rPr>
                      <w:rFonts w:ascii="Calibri" w:hAnsi="Calibri"/>
                      <w:noProof/>
                      <w:sz w:val="20"/>
                      <w:szCs w:val="20"/>
                    </w:rPr>
                    <w:drawing>
                      <wp:inline distT="0" distB="0" distL="0" distR="0" wp14:anchorId="748029E5" wp14:editId="73D41BB7">
                        <wp:extent cx="5762625" cy="666750"/>
                        <wp:effectExtent l="0" t="0" r="9525" b="0"/>
                        <wp:docPr id="2" name="Afbeelding 2" descr="cid:image002.jpg@01D04471.8E52D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04471.8E52D2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7F384C" w:rsidRDefault="007F384C">
                  <w:pPr>
                    <w:spacing w:line="276" w:lineRule="auto"/>
                    <w:jc w:val="both"/>
                    <w:rPr>
                      <w:rFonts w:ascii="Calibri" w:hAnsi="Calibri"/>
                      <w:color w:val="ACABAB"/>
                      <w:sz w:val="20"/>
                      <w:szCs w:val="20"/>
                      <w:lang w:val="en-GB" w:eastAsia="en-US"/>
                    </w:rPr>
                  </w:pPr>
                </w:p>
                <w:p w:rsidR="007F384C" w:rsidRDefault="007F384C">
                  <w:pPr>
                    <w:spacing w:line="76" w:lineRule="atLeast"/>
                    <w:jc w:val="both"/>
                    <w:rPr>
                      <w:rFonts w:ascii="Calibri" w:hAnsi="Calibri"/>
                      <w:color w:val="ACABAB"/>
                      <w:sz w:val="20"/>
                      <w:szCs w:val="20"/>
                      <w:lang w:val="en-GB" w:eastAsia="en-US"/>
                    </w:rPr>
                  </w:pPr>
                </w:p>
              </w:tc>
            </w:tr>
          </w:tbl>
          <w:p w:rsidR="007F384C" w:rsidRDefault="007F384C">
            <w:pPr>
              <w:spacing w:line="276" w:lineRule="auto"/>
              <w:jc w:val="both"/>
              <w:rPr>
                <w:rFonts w:ascii="Calibri" w:hAnsi="Calibri"/>
                <w:b/>
                <w:bCs/>
                <w:sz w:val="20"/>
                <w:szCs w:val="20"/>
                <w:lang w:val="en-GB" w:eastAsia="en-US"/>
              </w:rPr>
            </w:pPr>
            <w:r>
              <w:rPr>
                <w:rFonts w:ascii="Calibri" w:hAnsi="Calibri"/>
                <w:b/>
                <w:bCs/>
                <w:sz w:val="20"/>
                <w:szCs w:val="20"/>
                <w:lang w:val="en-GB" w:eastAsia="en-US"/>
              </w:rPr>
              <w:t>Fiscal Committee</w:t>
            </w:r>
          </w:p>
          <w:p w:rsidR="007F384C" w:rsidRDefault="007F384C">
            <w:pPr>
              <w:shd w:val="clear" w:color="auto" w:fill="FEFEFE"/>
              <w:spacing w:line="276" w:lineRule="auto"/>
              <w:ind w:right="2925"/>
              <w:jc w:val="both"/>
              <w:rPr>
                <w:rFonts w:ascii="Calibri" w:hAnsi="Calibri"/>
                <w:b/>
                <w:bCs/>
                <w:color w:val="000000"/>
                <w:sz w:val="20"/>
                <w:szCs w:val="20"/>
                <w:lang w:val="en" w:eastAsia="en-US"/>
              </w:rPr>
            </w:pPr>
            <w:r>
              <w:rPr>
                <w:rFonts w:ascii="Calibri" w:hAnsi="Calibri"/>
                <w:b/>
                <w:bCs/>
                <w:color w:val="000000"/>
                <w:sz w:val="20"/>
                <w:szCs w:val="20"/>
                <w:lang w:val="en" w:eastAsia="en-US"/>
              </w:rPr>
              <w:t xml:space="preserve">                                                                                                                                                    </w:t>
            </w:r>
          </w:p>
          <w:p w:rsidR="007F384C" w:rsidRDefault="007F384C">
            <w:pPr>
              <w:shd w:val="clear" w:color="auto" w:fill="FEFEFE"/>
              <w:spacing w:line="276" w:lineRule="auto"/>
              <w:ind w:left="7371"/>
              <w:jc w:val="both"/>
              <w:rPr>
                <w:rFonts w:ascii="Calibri" w:hAnsi="Calibri"/>
                <w:b/>
                <w:bCs/>
                <w:color w:val="000000"/>
                <w:sz w:val="20"/>
                <w:szCs w:val="20"/>
                <w:lang w:val="en" w:eastAsia="en-US"/>
              </w:rPr>
            </w:pPr>
            <w:r>
              <w:rPr>
                <w:rFonts w:ascii="Calibri" w:hAnsi="Calibri"/>
                <w:b/>
                <w:bCs/>
                <w:color w:val="000000"/>
                <w:sz w:val="20"/>
                <w:szCs w:val="20"/>
                <w:lang w:val="en" w:eastAsia="en-US"/>
              </w:rPr>
              <w:t>      9 February 2015</w:t>
            </w:r>
          </w:p>
          <w:p w:rsidR="007F384C" w:rsidRDefault="007F384C">
            <w:pPr>
              <w:spacing w:line="276" w:lineRule="auto"/>
              <w:jc w:val="both"/>
              <w:rPr>
                <w:rFonts w:ascii="Calibri" w:hAnsi="Calibri"/>
                <w:sz w:val="20"/>
                <w:szCs w:val="20"/>
                <w:lang w:val="en" w:eastAsia="en-US"/>
              </w:rPr>
            </w:pPr>
          </w:p>
          <w:p w:rsidR="007F384C" w:rsidRDefault="007F384C">
            <w:pPr>
              <w:spacing w:line="276" w:lineRule="auto"/>
              <w:jc w:val="both"/>
              <w:rPr>
                <w:rFonts w:ascii="Calibri" w:hAnsi="Calibri"/>
                <w:sz w:val="20"/>
                <w:szCs w:val="20"/>
                <w:lang w:val="en" w:eastAsia="en-US"/>
              </w:rPr>
            </w:pPr>
          </w:p>
          <w:p w:rsidR="007F384C" w:rsidRDefault="007F384C">
            <w:pPr>
              <w:pStyle w:val="Lijstalinea"/>
              <w:spacing w:line="276" w:lineRule="auto"/>
              <w:ind w:left="709" w:hanging="360"/>
              <w:jc w:val="both"/>
              <w:rPr>
                <w:b/>
                <w:bCs/>
                <w:sz w:val="20"/>
                <w:szCs w:val="20"/>
                <w:lang w:val="en-GB" w:eastAsia="en-US"/>
              </w:rPr>
            </w:pPr>
            <w:r>
              <w:rPr>
                <w:b/>
                <w:bCs/>
                <w:sz w:val="20"/>
                <w:szCs w:val="20"/>
                <w:lang w:val="en-GB" w:eastAsia="en-US"/>
              </w:rPr>
              <w:t>1.</w:t>
            </w:r>
            <w:r>
              <w:rPr>
                <w:rFonts w:ascii="Times New Roman" w:hAnsi="Times New Roman"/>
                <w:b/>
                <w:bCs/>
                <w:sz w:val="14"/>
                <w:szCs w:val="14"/>
                <w:lang w:val="en-GB" w:eastAsia="en-US"/>
              </w:rPr>
              <w:t xml:space="preserve">       </w:t>
            </w:r>
            <w:r>
              <w:rPr>
                <w:b/>
                <w:bCs/>
                <w:sz w:val="20"/>
                <w:szCs w:val="20"/>
                <w:lang w:val="en" w:eastAsia="en-US"/>
              </w:rPr>
              <w:t xml:space="preserve">Taxes and state aid I: </w:t>
            </w:r>
            <w:r>
              <w:rPr>
                <w:b/>
                <w:bCs/>
                <w:sz w:val="20"/>
                <w:szCs w:val="20"/>
                <w:lang w:val="en-GB" w:eastAsia="en-US"/>
              </w:rPr>
              <w:t>Commission opens investigation into Belgian “excess-profit tax rulings”</w:t>
            </w:r>
          </w:p>
          <w:p w:rsidR="007F384C" w:rsidRDefault="007F384C">
            <w:pPr>
              <w:pStyle w:val="Lijstalinea"/>
              <w:spacing w:line="276" w:lineRule="auto"/>
              <w:ind w:left="709"/>
              <w:jc w:val="both"/>
              <w:rPr>
                <w:b/>
                <w:bCs/>
                <w:sz w:val="20"/>
                <w:szCs w:val="20"/>
                <w:lang w:val="en-GB" w:eastAsia="en-US"/>
              </w:rPr>
            </w:pPr>
          </w:p>
          <w:p w:rsidR="007F384C" w:rsidRDefault="007F384C">
            <w:pPr>
              <w:pStyle w:val="Lijstalinea"/>
              <w:spacing w:line="276" w:lineRule="auto"/>
              <w:ind w:left="567" w:right="141"/>
              <w:jc w:val="both"/>
              <w:rPr>
                <w:sz w:val="20"/>
                <w:szCs w:val="20"/>
                <w:lang w:val="en-GB" w:eastAsia="en-US"/>
              </w:rPr>
            </w:pPr>
            <w:r>
              <w:rPr>
                <w:sz w:val="20"/>
                <w:szCs w:val="20"/>
                <w:lang w:val="en-GB" w:eastAsia="en-US"/>
              </w:rPr>
              <w:t>On 3 February 2015, the European Commission has opened in-depth state aid investigations into the Belgian tax rulings practice of “excess-profit tax rulings” that allow multinational groups to reduce their corporation tax liability by "excess profits" that are considered to result from the advantage of being part of a multinational group. Accordingly, such rulings are not available to Belgian groups or single companies. While Belgium claims that the system is justified under the arm's length principle and to avoid double taxation, the Commission considers that the rulings may overestimate the benefits of belonging to a multinational group and doubts whether other countries actually tax these benefits.</w:t>
            </w:r>
          </w:p>
          <w:p w:rsidR="007F384C" w:rsidRDefault="007F384C">
            <w:pPr>
              <w:pStyle w:val="Lijstalinea"/>
              <w:spacing w:line="276" w:lineRule="auto"/>
              <w:ind w:left="567" w:right="141"/>
              <w:jc w:val="both"/>
              <w:rPr>
                <w:sz w:val="20"/>
                <w:szCs w:val="20"/>
                <w:lang w:val="en-GB" w:eastAsia="en-US"/>
              </w:rPr>
            </w:pPr>
            <w:r>
              <w:rPr>
                <w:sz w:val="20"/>
                <w:szCs w:val="20"/>
                <w:lang w:val="en-GB" w:eastAsia="en-US"/>
              </w:rPr>
              <w:t>The outcome of the investigation is still open. Third parties have the possibility to comment. The decision to open investigations is not yet public.</w:t>
            </w:r>
          </w:p>
          <w:p w:rsidR="007F384C" w:rsidRDefault="007F384C">
            <w:pPr>
              <w:pStyle w:val="Lijstalinea"/>
              <w:spacing w:line="276" w:lineRule="auto"/>
              <w:ind w:left="567" w:right="141"/>
              <w:jc w:val="both"/>
              <w:rPr>
                <w:sz w:val="20"/>
                <w:szCs w:val="20"/>
                <w:lang w:val="en-GB" w:eastAsia="en-US"/>
              </w:rPr>
            </w:pPr>
          </w:p>
          <w:p w:rsidR="007F384C" w:rsidRDefault="007F384C">
            <w:pPr>
              <w:pStyle w:val="Lijstalinea"/>
              <w:spacing w:line="276" w:lineRule="auto"/>
              <w:ind w:left="1069" w:hanging="360"/>
              <w:jc w:val="both"/>
              <w:rPr>
                <w:sz w:val="20"/>
                <w:szCs w:val="20"/>
                <w:lang w:eastAsia="en-US"/>
              </w:rPr>
            </w:pPr>
            <w:r>
              <w:rPr>
                <w:sz w:val="20"/>
                <w:szCs w:val="20"/>
                <w:lang w:eastAsia="en-US"/>
              </w:rPr>
              <w:t>-</w:t>
            </w:r>
            <w:r>
              <w:rPr>
                <w:rFonts w:ascii="Times New Roman" w:hAnsi="Times New Roman"/>
                <w:sz w:val="14"/>
                <w:szCs w:val="14"/>
                <w:lang w:eastAsia="en-US"/>
              </w:rPr>
              <w:t xml:space="preserve">          </w:t>
            </w:r>
            <w:r>
              <w:rPr>
                <w:sz w:val="20"/>
                <w:szCs w:val="20"/>
                <w:lang w:eastAsia="en-US"/>
              </w:rPr>
              <w:t xml:space="preserve">Press release: </w:t>
            </w:r>
            <w:hyperlink r:id="rId7" w:history="1">
              <w:r>
                <w:rPr>
                  <w:rStyle w:val="Hyperlink"/>
                  <w:sz w:val="20"/>
                  <w:szCs w:val="20"/>
                  <w:lang w:eastAsia="en-US"/>
                </w:rPr>
                <w:t>EN</w:t>
              </w:r>
            </w:hyperlink>
            <w:r>
              <w:rPr>
                <w:sz w:val="20"/>
                <w:szCs w:val="20"/>
                <w:lang w:eastAsia="en-US"/>
              </w:rPr>
              <w:t xml:space="preserve"> (DE FR NL </w:t>
            </w:r>
            <w:proofErr w:type="spellStart"/>
            <w:r>
              <w:rPr>
                <w:sz w:val="20"/>
                <w:szCs w:val="20"/>
                <w:lang w:eastAsia="en-US"/>
              </w:rPr>
              <w:t>available</w:t>
            </w:r>
            <w:proofErr w:type="spellEnd"/>
            <w:r>
              <w:rPr>
                <w:sz w:val="20"/>
                <w:szCs w:val="20"/>
                <w:lang w:eastAsia="en-US"/>
              </w:rPr>
              <w:t>)</w:t>
            </w:r>
          </w:p>
          <w:p w:rsidR="007F384C" w:rsidRDefault="007F384C">
            <w:pPr>
              <w:pStyle w:val="Lijstalinea"/>
              <w:spacing w:line="276" w:lineRule="auto"/>
              <w:ind w:left="1069"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Speech of Competition Commissioner </w:t>
            </w:r>
            <w:proofErr w:type="spellStart"/>
            <w:r>
              <w:rPr>
                <w:sz w:val="20"/>
                <w:szCs w:val="20"/>
                <w:lang w:val="en-GB" w:eastAsia="en-US"/>
              </w:rPr>
              <w:t>Vestager</w:t>
            </w:r>
            <w:proofErr w:type="spellEnd"/>
            <w:r>
              <w:rPr>
                <w:sz w:val="20"/>
                <w:szCs w:val="20"/>
                <w:lang w:val="en-GB" w:eastAsia="en-US"/>
              </w:rPr>
              <w:t xml:space="preserve">, 3 February 2015: </w:t>
            </w:r>
            <w:hyperlink r:id="rId8" w:history="1">
              <w:r>
                <w:rPr>
                  <w:rStyle w:val="Hyperlink"/>
                  <w:sz w:val="20"/>
                  <w:szCs w:val="20"/>
                  <w:lang w:val="en-GB" w:eastAsia="en-US"/>
                </w:rPr>
                <w:t>EN</w:t>
              </w:r>
            </w:hyperlink>
          </w:p>
          <w:p w:rsidR="007F384C" w:rsidRDefault="007F384C">
            <w:pPr>
              <w:spacing w:line="276" w:lineRule="auto"/>
              <w:jc w:val="both"/>
              <w:rPr>
                <w:rFonts w:ascii="Calibri" w:hAnsi="Calibri"/>
                <w:sz w:val="20"/>
                <w:szCs w:val="20"/>
                <w:lang w:val="en-GB" w:eastAsia="en-US"/>
              </w:rPr>
            </w:pPr>
          </w:p>
          <w:p w:rsidR="007F384C" w:rsidRDefault="007F384C">
            <w:pPr>
              <w:spacing w:line="276" w:lineRule="auto"/>
              <w:jc w:val="both"/>
              <w:rPr>
                <w:rFonts w:ascii="Calibri" w:hAnsi="Calibri"/>
                <w:sz w:val="20"/>
                <w:szCs w:val="20"/>
                <w:lang w:val="en-GB" w:eastAsia="en-US"/>
              </w:rPr>
            </w:pPr>
          </w:p>
          <w:p w:rsidR="007F384C" w:rsidRDefault="007F384C">
            <w:pPr>
              <w:pStyle w:val="Lijstalinea"/>
              <w:spacing w:line="276" w:lineRule="auto"/>
              <w:ind w:left="709" w:hanging="360"/>
              <w:jc w:val="both"/>
              <w:rPr>
                <w:b/>
                <w:bCs/>
                <w:sz w:val="20"/>
                <w:szCs w:val="20"/>
                <w:lang w:val="en-GB" w:eastAsia="en-US"/>
              </w:rPr>
            </w:pPr>
            <w:r>
              <w:rPr>
                <w:b/>
                <w:bCs/>
                <w:sz w:val="20"/>
                <w:szCs w:val="20"/>
                <w:lang w:val="en-GB" w:eastAsia="en-US"/>
              </w:rPr>
              <w:t>2.</w:t>
            </w:r>
            <w:r>
              <w:rPr>
                <w:rFonts w:ascii="Times New Roman" w:hAnsi="Times New Roman"/>
                <w:b/>
                <w:bCs/>
                <w:sz w:val="14"/>
                <w:szCs w:val="14"/>
                <w:lang w:val="en-GB" w:eastAsia="en-US"/>
              </w:rPr>
              <w:t xml:space="preserve">       </w:t>
            </w:r>
            <w:r>
              <w:rPr>
                <w:b/>
                <w:bCs/>
                <w:sz w:val="20"/>
                <w:szCs w:val="20"/>
                <w:lang w:val="en-GB" w:eastAsia="en-US"/>
              </w:rPr>
              <w:t>State aid II: Commission invites comments on tax rulings and state aid</w:t>
            </w:r>
          </w:p>
          <w:p w:rsidR="007F384C" w:rsidRDefault="007F384C">
            <w:pPr>
              <w:pStyle w:val="Lijstalinea"/>
              <w:spacing w:line="276" w:lineRule="auto"/>
              <w:ind w:left="709"/>
              <w:jc w:val="both"/>
              <w:rPr>
                <w:sz w:val="20"/>
                <w:szCs w:val="20"/>
                <w:lang w:val="en-GB" w:eastAsia="en-US"/>
              </w:rPr>
            </w:pPr>
          </w:p>
          <w:p w:rsidR="007F384C" w:rsidRDefault="007F384C">
            <w:pPr>
              <w:pStyle w:val="Lijstalinea"/>
              <w:spacing w:line="276" w:lineRule="auto"/>
              <w:ind w:left="709"/>
              <w:jc w:val="both"/>
              <w:rPr>
                <w:sz w:val="20"/>
                <w:szCs w:val="20"/>
                <w:lang w:val="en-GB" w:eastAsia="en-US"/>
              </w:rPr>
            </w:pPr>
            <w:r>
              <w:rPr>
                <w:sz w:val="20"/>
                <w:szCs w:val="20"/>
                <w:lang w:val="en-GB" w:eastAsia="en-US"/>
              </w:rPr>
              <w:t>On 6 February 2015, the European Commission published an invitation to comment on the in-depth state aid investigation into the Luxembourg rulings on the corporate tax treatment of Amazon, opened on 7 October 2014. Comments have to be sent within one month.</w:t>
            </w:r>
          </w:p>
          <w:p w:rsidR="007F384C" w:rsidRDefault="007F384C">
            <w:pPr>
              <w:pStyle w:val="Lijstalinea"/>
              <w:spacing w:line="276" w:lineRule="auto"/>
              <w:ind w:left="709"/>
              <w:jc w:val="both"/>
              <w:rPr>
                <w:sz w:val="20"/>
                <w:szCs w:val="20"/>
                <w:lang w:val="en-GB" w:eastAsia="en-US"/>
              </w:rPr>
            </w:pPr>
          </w:p>
          <w:p w:rsidR="007F384C" w:rsidRDefault="007F384C">
            <w:pPr>
              <w:pStyle w:val="Lijstalinea"/>
              <w:spacing w:line="276" w:lineRule="auto"/>
              <w:ind w:left="1069" w:hanging="360"/>
              <w:jc w:val="both"/>
              <w:rPr>
                <w:rStyle w:val="Hyperlink"/>
                <w:color w:val="auto"/>
                <w:u w:val="none"/>
              </w:rPr>
            </w:pPr>
            <w:r>
              <w:rPr>
                <w:rStyle w:val="Hyperlink"/>
                <w:color w:val="auto"/>
                <w:u w:val="none"/>
              </w:rPr>
              <w:t>-</w:t>
            </w:r>
            <w:r>
              <w:rPr>
                <w:rStyle w:val="Hyperlink"/>
                <w:rFonts w:ascii="Times New Roman" w:hAnsi="Times New Roman"/>
                <w:color w:val="auto"/>
                <w:sz w:val="14"/>
                <w:szCs w:val="14"/>
                <w:u w:val="none"/>
              </w:rPr>
              <w:t xml:space="preserve">          </w:t>
            </w:r>
            <w:r>
              <w:rPr>
                <w:sz w:val="20"/>
                <w:szCs w:val="20"/>
                <w:lang w:val="en-GB" w:eastAsia="en-US"/>
              </w:rPr>
              <w:t xml:space="preserve">Invitation to comment: </w:t>
            </w:r>
            <w:hyperlink r:id="rId9" w:history="1">
              <w:r>
                <w:rPr>
                  <w:rStyle w:val="Hyperlink"/>
                  <w:sz w:val="20"/>
                  <w:szCs w:val="20"/>
                  <w:lang w:val="en-GB" w:eastAsia="en-US"/>
                </w:rPr>
                <w:t>EN</w:t>
              </w:r>
            </w:hyperlink>
          </w:p>
          <w:p w:rsidR="007F384C" w:rsidRDefault="007F384C">
            <w:pPr>
              <w:pStyle w:val="Lijstalinea"/>
              <w:spacing w:line="276" w:lineRule="auto"/>
              <w:ind w:left="1069"/>
              <w:jc w:val="both"/>
            </w:pPr>
          </w:p>
          <w:p w:rsidR="007F384C" w:rsidRDefault="007F384C">
            <w:pPr>
              <w:pStyle w:val="Lijstalinea"/>
              <w:spacing w:line="276" w:lineRule="auto"/>
              <w:ind w:left="709"/>
              <w:jc w:val="both"/>
              <w:rPr>
                <w:sz w:val="20"/>
                <w:szCs w:val="20"/>
                <w:lang w:val="en-GB" w:eastAsia="en-US"/>
              </w:rPr>
            </w:pPr>
          </w:p>
          <w:p w:rsidR="007F384C" w:rsidRDefault="007F384C">
            <w:pPr>
              <w:pStyle w:val="Lijstalinea"/>
              <w:spacing w:line="276" w:lineRule="auto"/>
              <w:ind w:hanging="360"/>
              <w:jc w:val="both"/>
              <w:rPr>
                <w:b/>
                <w:bCs/>
                <w:sz w:val="20"/>
                <w:szCs w:val="20"/>
                <w:lang w:val="en-GB" w:eastAsia="en-US"/>
              </w:rPr>
            </w:pPr>
            <w:r>
              <w:rPr>
                <w:b/>
                <w:bCs/>
                <w:sz w:val="20"/>
                <w:szCs w:val="20"/>
                <w:lang w:val="en-GB" w:eastAsia="en-US"/>
              </w:rPr>
              <w:t>3.</w:t>
            </w:r>
            <w:r>
              <w:rPr>
                <w:rFonts w:ascii="Times New Roman" w:hAnsi="Times New Roman"/>
                <w:b/>
                <w:bCs/>
                <w:sz w:val="14"/>
                <w:szCs w:val="14"/>
                <w:lang w:val="en-GB" w:eastAsia="en-US"/>
              </w:rPr>
              <w:t xml:space="preserve">       </w:t>
            </w:r>
            <w:r>
              <w:rPr>
                <w:b/>
                <w:bCs/>
                <w:sz w:val="20"/>
                <w:szCs w:val="20"/>
                <w:lang w:val="en-GB" w:eastAsia="en-US"/>
              </w:rPr>
              <w:t>OECD and G20 agree on key elements to counter BEPS</w:t>
            </w:r>
          </w:p>
          <w:p w:rsidR="007F384C" w:rsidRDefault="007F384C">
            <w:pPr>
              <w:spacing w:line="276" w:lineRule="auto"/>
              <w:jc w:val="both"/>
              <w:rPr>
                <w:rFonts w:ascii="Calibri" w:hAnsi="Calibri"/>
                <w:sz w:val="20"/>
                <w:szCs w:val="20"/>
                <w:lang w:val="en-GB" w:eastAsia="en-US"/>
              </w:rPr>
            </w:pPr>
          </w:p>
          <w:p w:rsidR="007F384C" w:rsidRDefault="007F384C">
            <w:pPr>
              <w:pStyle w:val="Lijstalinea"/>
              <w:spacing w:line="276" w:lineRule="auto"/>
              <w:ind w:right="141"/>
              <w:jc w:val="both"/>
              <w:rPr>
                <w:sz w:val="20"/>
                <w:szCs w:val="20"/>
                <w:lang w:val="en-GB" w:eastAsia="en-US"/>
              </w:rPr>
            </w:pPr>
            <w:r>
              <w:rPr>
                <w:sz w:val="20"/>
                <w:szCs w:val="20"/>
                <w:lang w:val="en-GB" w:eastAsia="en-US"/>
              </w:rPr>
              <w:t>On 6 February 2015, the OECD reported that its members and the G20 countries have reached agreement on the following measures to counter BEPS:</w:t>
            </w:r>
          </w:p>
          <w:p w:rsidR="007F384C" w:rsidRDefault="007F384C">
            <w:pPr>
              <w:pStyle w:val="Lijstalinea"/>
              <w:spacing w:line="276" w:lineRule="auto"/>
              <w:ind w:left="1134" w:right="141"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a mandate to launch negotiations on a multilateral instrument to streamline implementation of tax treaty-related BEPS measures; the OECD intends setting up an ad-hoc negotiating group open to all states, with the aim to conclude drafting by the end of 2016.</w:t>
            </w:r>
          </w:p>
          <w:p w:rsidR="007F384C" w:rsidRDefault="007F384C">
            <w:pPr>
              <w:pStyle w:val="Lijstalinea"/>
              <w:spacing w:line="276" w:lineRule="auto"/>
              <w:ind w:left="1134" w:right="141"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an implementation package for country-by-country reporting (based on the template proposed in September 2014) as of 2016 and a related government-to-government exchange mechanism to start in 2017; according to the new guidance, reports should be filed for multinationals with a turnover above € 750 million in their countries of residence;</w:t>
            </w:r>
          </w:p>
          <w:p w:rsidR="007F384C" w:rsidRDefault="007F384C">
            <w:pPr>
              <w:pStyle w:val="Lijstalinea"/>
              <w:spacing w:line="276" w:lineRule="auto"/>
              <w:ind w:left="1134" w:right="141"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criteria to assess whether preferential treatment </w:t>
            </w:r>
            <w:proofErr w:type="spellStart"/>
            <w:r>
              <w:rPr>
                <w:sz w:val="20"/>
                <w:szCs w:val="20"/>
                <w:lang w:val="en-GB" w:eastAsia="en-US"/>
              </w:rPr>
              <w:t>regimes</w:t>
            </w:r>
            <w:proofErr w:type="spellEnd"/>
            <w:r>
              <w:rPr>
                <w:sz w:val="20"/>
                <w:szCs w:val="20"/>
                <w:lang w:val="en-GB" w:eastAsia="en-US"/>
              </w:rPr>
              <w:t xml:space="preserve"> for intellectual property (patent boxes) are </w:t>
            </w:r>
            <w:r>
              <w:rPr>
                <w:sz w:val="20"/>
                <w:szCs w:val="20"/>
                <w:lang w:val="en-GB" w:eastAsia="en-US"/>
              </w:rPr>
              <w:lastRenderedPageBreak/>
              <w:t>harmful; these are based on the “modified nexus approach”, initially proposed by the UK and Germany, which allows a taxpayer to receive benefits on IP income in line with the expenditures linked to that income and which provides for a transitional regime until 2021.</w:t>
            </w:r>
          </w:p>
          <w:p w:rsidR="007F384C" w:rsidRDefault="007F384C">
            <w:pPr>
              <w:pStyle w:val="Lijstalinea"/>
              <w:spacing w:line="276" w:lineRule="auto"/>
              <w:ind w:left="709" w:right="141"/>
              <w:jc w:val="both"/>
              <w:rPr>
                <w:sz w:val="20"/>
                <w:szCs w:val="20"/>
                <w:lang w:val="en-GB" w:eastAsia="en-US"/>
              </w:rPr>
            </w:pPr>
          </w:p>
          <w:p w:rsidR="007F384C" w:rsidRDefault="007F384C">
            <w:pPr>
              <w:pStyle w:val="Lijstalinea"/>
              <w:spacing w:line="276" w:lineRule="auto"/>
              <w:ind w:left="1418" w:right="141" w:hanging="567"/>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Mandate for developing a multilateral instrument: </w:t>
            </w:r>
            <w:hyperlink r:id="rId10" w:history="1">
              <w:r>
                <w:rPr>
                  <w:rStyle w:val="Hyperlink"/>
                  <w:sz w:val="20"/>
                  <w:szCs w:val="20"/>
                  <w:lang w:val="en-GB" w:eastAsia="en-US"/>
                </w:rPr>
                <w:t>EN</w:t>
              </w:r>
            </w:hyperlink>
          </w:p>
          <w:p w:rsidR="007F384C" w:rsidRDefault="007F384C">
            <w:pPr>
              <w:pStyle w:val="Lijstalinea"/>
              <w:spacing w:line="276" w:lineRule="auto"/>
              <w:ind w:left="1418" w:right="141" w:hanging="567"/>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Guidance on country-by-country reporting: </w:t>
            </w:r>
            <w:hyperlink r:id="rId11" w:history="1">
              <w:r>
                <w:rPr>
                  <w:rStyle w:val="Hyperlink"/>
                  <w:sz w:val="20"/>
                  <w:szCs w:val="20"/>
                  <w:lang w:val="en-GB" w:eastAsia="en-US"/>
                </w:rPr>
                <w:t>EN</w:t>
              </w:r>
            </w:hyperlink>
          </w:p>
          <w:p w:rsidR="007F384C" w:rsidRDefault="007F384C">
            <w:pPr>
              <w:pStyle w:val="Lijstalinea"/>
              <w:spacing w:line="276" w:lineRule="auto"/>
              <w:ind w:left="1418" w:right="141" w:hanging="567"/>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Note on the “modified nexus approach” to patent boxes: </w:t>
            </w:r>
            <w:hyperlink r:id="rId12" w:history="1">
              <w:r>
                <w:rPr>
                  <w:rStyle w:val="Hyperlink"/>
                  <w:sz w:val="20"/>
                  <w:szCs w:val="20"/>
                  <w:lang w:val="en-GB" w:eastAsia="en-US"/>
                </w:rPr>
                <w:t>EN</w:t>
              </w:r>
            </w:hyperlink>
          </w:p>
          <w:p w:rsidR="007F384C" w:rsidRDefault="007F384C">
            <w:pPr>
              <w:spacing w:line="276" w:lineRule="auto"/>
              <w:jc w:val="both"/>
              <w:rPr>
                <w:rFonts w:ascii="Calibri" w:hAnsi="Calibri"/>
                <w:sz w:val="20"/>
                <w:szCs w:val="20"/>
                <w:lang w:val="en-GB" w:eastAsia="en-US"/>
              </w:rPr>
            </w:pPr>
          </w:p>
          <w:p w:rsidR="007F384C" w:rsidRDefault="007F384C">
            <w:pPr>
              <w:spacing w:line="276" w:lineRule="auto"/>
              <w:jc w:val="both"/>
              <w:rPr>
                <w:rFonts w:ascii="Calibri" w:hAnsi="Calibri"/>
                <w:sz w:val="20"/>
                <w:szCs w:val="20"/>
                <w:lang w:val="en-GB" w:eastAsia="en-US"/>
              </w:rPr>
            </w:pPr>
          </w:p>
          <w:p w:rsidR="007F384C" w:rsidRDefault="007F384C">
            <w:pPr>
              <w:pStyle w:val="Lijstalinea"/>
              <w:spacing w:line="276" w:lineRule="auto"/>
              <w:ind w:left="709" w:hanging="360"/>
              <w:jc w:val="both"/>
              <w:rPr>
                <w:sz w:val="20"/>
                <w:szCs w:val="20"/>
                <w:lang w:val="en-GB" w:eastAsia="en-US"/>
              </w:rPr>
            </w:pPr>
            <w:r>
              <w:rPr>
                <w:b/>
                <w:bCs/>
                <w:sz w:val="20"/>
                <w:szCs w:val="20"/>
                <w:lang w:val="en-GB" w:eastAsia="en-US"/>
              </w:rPr>
              <w:t>4.</w:t>
            </w:r>
            <w:r>
              <w:rPr>
                <w:rFonts w:ascii="Times New Roman" w:hAnsi="Times New Roman"/>
                <w:b/>
                <w:bCs/>
                <w:sz w:val="14"/>
                <w:szCs w:val="14"/>
                <w:lang w:val="en-GB" w:eastAsia="en-US"/>
              </w:rPr>
              <w:t xml:space="preserve">       </w:t>
            </w:r>
            <w:r>
              <w:rPr>
                <w:b/>
                <w:bCs/>
                <w:sz w:val="20"/>
                <w:szCs w:val="20"/>
                <w:lang w:val="en-GB" w:eastAsia="en-US"/>
              </w:rPr>
              <w:t>State Aid III: No EP enquiry committee on tax rulings and state aid</w:t>
            </w:r>
          </w:p>
          <w:p w:rsidR="007F384C" w:rsidRDefault="007F384C">
            <w:pPr>
              <w:pStyle w:val="Lijstalinea"/>
              <w:spacing w:line="276" w:lineRule="auto"/>
              <w:ind w:left="426"/>
              <w:jc w:val="both"/>
              <w:rPr>
                <w:sz w:val="20"/>
                <w:szCs w:val="20"/>
                <w:lang w:val="en-GB" w:eastAsia="en-US"/>
              </w:rPr>
            </w:pPr>
          </w:p>
          <w:p w:rsidR="007F384C" w:rsidRDefault="007F384C">
            <w:pPr>
              <w:pStyle w:val="Lijstalinea"/>
              <w:spacing w:line="276" w:lineRule="auto"/>
              <w:ind w:left="567" w:right="141"/>
              <w:jc w:val="both"/>
              <w:rPr>
                <w:sz w:val="20"/>
                <w:szCs w:val="20"/>
                <w:lang w:val="en" w:eastAsia="en-US"/>
              </w:rPr>
            </w:pPr>
            <w:r>
              <w:rPr>
                <w:sz w:val="20"/>
                <w:szCs w:val="20"/>
                <w:lang w:val="en-GB" w:eastAsia="en-US"/>
              </w:rPr>
              <w:t xml:space="preserve">The European Parliament´s Conference of Presidents, on 5 February 2015, decided not to set up an enquiry committee on violation of EU state aid rules through member states´ tax rulings practice, despite a vote of 188 MEPs in favour of setting up such Committee on 14 January. Instead, the decision was taken to propose to the EP plenary the setting up a “special committee” on tax evasion. Such Committee can have a broader scope but does not have the power to ask for national documents to be handed over or to summon witnesses, as an enquiry committee has. </w:t>
            </w:r>
            <w:r>
              <w:rPr>
                <w:sz w:val="20"/>
                <w:szCs w:val="20"/>
                <w:lang w:val="en" w:eastAsia="en-US"/>
              </w:rPr>
              <w:t xml:space="preserve">Two days before the </w:t>
            </w:r>
            <w:r>
              <w:rPr>
                <w:sz w:val="20"/>
                <w:szCs w:val="20"/>
                <w:lang w:val="en-GB" w:eastAsia="en-US"/>
              </w:rPr>
              <w:t>Conference of Presidents´ decision</w:t>
            </w:r>
            <w:r>
              <w:rPr>
                <w:sz w:val="20"/>
                <w:szCs w:val="20"/>
                <w:lang w:val="en" w:eastAsia="en-US"/>
              </w:rPr>
              <w:t>, the EP´s legal service had recommended that the creation of an enquiry committee be refused, stating that the proposal was ill-conceived as it did not specify the object of investigation and lacked clarity in identifying the offences to be examined.</w:t>
            </w:r>
          </w:p>
          <w:p w:rsidR="007F384C" w:rsidRDefault="007F384C">
            <w:pPr>
              <w:pStyle w:val="Lijstalinea"/>
              <w:spacing w:line="276" w:lineRule="auto"/>
              <w:ind w:left="567" w:right="141"/>
              <w:jc w:val="both"/>
              <w:rPr>
                <w:sz w:val="20"/>
                <w:szCs w:val="20"/>
                <w:lang w:val="en" w:eastAsia="en-US"/>
              </w:rPr>
            </w:pPr>
          </w:p>
          <w:p w:rsidR="007F384C" w:rsidRDefault="007F384C">
            <w:pPr>
              <w:pStyle w:val="Lijstalinea"/>
              <w:spacing w:line="276" w:lineRule="auto"/>
              <w:ind w:right="141" w:hanging="360"/>
              <w:jc w:val="both"/>
              <w:rPr>
                <w:sz w:val="20"/>
                <w:szCs w:val="20"/>
                <w:lang w:val="en" w:eastAsia="en-US"/>
              </w:rPr>
            </w:pPr>
            <w:r>
              <w:rPr>
                <w:sz w:val="20"/>
                <w:szCs w:val="20"/>
                <w:lang w:val="en" w:eastAsia="en-US"/>
              </w:rPr>
              <w:t>-</w:t>
            </w:r>
            <w:r>
              <w:rPr>
                <w:rFonts w:ascii="Times New Roman" w:hAnsi="Times New Roman"/>
                <w:sz w:val="14"/>
                <w:szCs w:val="14"/>
                <w:lang w:val="en" w:eastAsia="en-US"/>
              </w:rPr>
              <w:t xml:space="preserve">          </w:t>
            </w:r>
            <w:r>
              <w:rPr>
                <w:sz w:val="20"/>
                <w:szCs w:val="20"/>
                <w:lang w:val="en" w:eastAsia="en-US"/>
              </w:rPr>
              <w:t xml:space="preserve">Press release: </w:t>
            </w:r>
            <w:hyperlink r:id="rId13" w:history="1">
              <w:r>
                <w:rPr>
                  <w:rStyle w:val="Hyperlink"/>
                  <w:sz w:val="20"/>
                  <w:szCs w:val="20"/>
                  <w:lang w:val="en" w:eastAsia="en-US"/>
                </w:rPr>
                <w:t>EN</w:t>
              </w:r>
            </w:hyperlink>
          </w:p>
          <w:p w:rsidR="007F384C" w:rsidRDefault="007F384C">
            <w:pPr>
              <w:spacing w:line="276" w:lineRule="auto"/>
              <w:jc w:val="both"/>
              <w:rPr>
                <w:rFonts w:ascii="Calibri" w:hAnsi="Calibri"/>
                <w:sz w:val="20"/>
                <w:szCs w:val="20"/>
                <w:lang w:val="en" w:eastAsia="en-US"/>
              </w:rPr>
            </w:pPr>
          </w:p>
          <w:p w:rsidR="007F384C" w:rsidRDefault="007F384C">
            <w:pPr>
              <w:spacing w:line="276" w:lineRule="auto"/>
              <w:jc w:val="both"/>
              <w:rPr>
                <w:rFonts w:ascii="Calibri" w:hAnsi="Calibri"/>
                <w:sz w:val="20"/>
                <w:szCs w:val="20"/>
                <w:lang w:val="en" w:eastAsia="en-US"/>
              </w:rPr>
            </w:pPr>
          </w:p>
          <w:p w:rsidR="007F384C" w:rsidRDefault="007F384C">
            <w:pPr>
              <w:pStyle w:val="Lijstalinea"/>
              <w:spacing w:line="276" w:lineRule="auto"/>
              <w:ind w:hanging="360"/>
              <w:jc w:val="both"/>
              <w:rPr>
                <w:b/>
                <w:bCs/>
                <w:sz w:val="20"/>
                <w:szCs w:val="20"/>
                <w:lang w:val="en-GB" w:eastAsia="en-US"/>
              </w:rPr>
            </w:pPr>
            <w:r>
              <w:rPr>
                <w:b/>
                <w:bCs/>
                <w:sz w:val="20"/>
                <w:szCs w:val="20"/>
                <w:lang w:val="en-GB" w:eastAsia="en-US"/>
              </w:rPr>
              <w:t>5.</w:t>
            </w:r>
            <w:r>
              <w:rPr>
                <w:rFonts w:ascii="Times New Roman" w:hAnsi="Times New Roman"/>
                <w:b/>
                <w:bCs/>
                <w:sz w:val="14"/>
                <w:szCs w:val="14"/>
                <w:lang w:val="en-GB" w:eastAsia="en-US"/>
              </w:rPr>
              <w:t xml:space="preserve">       </w:t>
            </w:r>
            <w:r>
              <w:rPr>
                <w:b/>
                <w:bCs/>
                <w:sz w:val="20"/>
                <w:szCs w:val="20"/>
                <w:lang w:val="en-GB" w:eastAsia="en-US"/>
              </w:rPr>
              <w:t>OECD to report on BEPS progress on 12 February</w:t>
            </w:r>
          </w:p>
          <w:p w:rsidR="007F384C" w:rsidRDefault="007F384C">
            <w:pPr>
              <w:spacing w:line="276" w:lineRule="auto"/>
              <w:jc w:val="both"/>
              <w:rPr>
                <w:rFonts w:ascii="Calibri" w:hAnsi="Calibri"/>
                <w:sz w:val="20"/>
                <w:szCs w:val="20"/>
                <w:lang w:val="en-GB" w:eastAsia="en-US"/>
              </w:rPr>
            </w:pPr>
          </w:p>
          <w:p w:rsidR="007F384C" w:rsidRDefault="007F384C">
            <w:pPr>
              <w:spacing w:line="276" w:lineRule="auto"/>
              <w:ind w:left="567" w:right="141"/>
              <w:jc w:val="both"/>
              <w:rPr>
                <w:rFonts w:ascii="Calibri" w:hAnsi="Calibri"/>
                <w:sz w:val="20"/>
                <w:szCs w:val="20"/>
                <w:lang w:val="en-GB" w:eastAsia="en-US"/>
              </w:rPr>
            </w:pPr>
            <w:r>
              <w:rPr>
                <w:rFonts w:ascii="Calibri" w:hAnsi="Calibri"/>
                <w:sz w:val="20"/>
                <w:szCs w:val="20"/>
                <w:lang w:val="en-GB" w:eastAsia="en-US"/>
              </w:rPr>
              <w:t>The OECD is planning to hold a webcast providing an update to its work to counter corporate base erosion and profit shifting on Thursday, 12 February 2015 from 15:00 to 16:00 CET. Previous BEPS webcasts have been made available online after the event.</w:t>
            </w:r>
          </w:p>
          <w:p w:rsidR="007F384C" w:rsidRDefault="007F384C">
            <w:pPr>
              <w:pStyle w:val="Lijstalinea"/>
              <w:spacing w:line="276" w:lineRule="auto"/>
              <w:jc w:val="both"/>
              <w:rPr>
                <w:sz w:val="20"/>
                <w:szCs w:val="20"/>
                <w:lang w:val="en-GB" w:eastAsia="en-US"/>
              </w:rPr>
            </w:pPr>
          </w:p>
          <w:p w:rsidR="007F384C" w:rsidRDefault="007F384C">
            <w:pPr>
              <w:pStyle w:val="Lijstalinea"/>
              <w:spacing w:line="276" w:lineRule="auto"/>
              <w:ind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Webcast: </w:t>
            </w:r>
            <w:hyperlink r:id="rId14" w:history="1">
              <w:r>
                <w:rPr>
                  <w:rStyle w:val="Hyperlink"/>
                  <w:sz w:val="20"/>
                  <w:szCs w:val="20"/>
                  <w:lang w:val="en-GB" w:eastAsia="en-US"/>
                </w:rPr>
                <w:t>EN</w:t>
              </w:r>
            </w:hyperlink>
          </w:p>
          <w:p w:rsidR="007F384C" w:rsidRDefault="007F384C">
            <w:pPr>
              <w:pStyle w:val="Lijstalinea"/>
              <w:spacing w:line="276" w:lineRule="auto"/>
              <w:rPr>
                <w:sz w:val="20"/>
                <w:szCs w:val="20"/>
                <w:lang w:val="en-GB" w:eastAsia="en-US"/>
              </w:rPr>
            </w:pPr>
          </w:p>
          <w:p w:rsidR="007F384C" w:rsidRDefault="007F384C">
            <w:pPr>
              <w:spacing w:line="276" w:lineRule="auto"/>
              <w:jc w:val="center"/>
              <w:rPr>
                <w:rFonts w:ascii="Calibri" w:hAnsi="Calibri"/>
                <w:sz w:val="20"/>
                <w:szCs w:val="20"/>
                <w:lang w:val="en-GB" w:eastAsia="en-US"/>
              </w:rPr>
            </w:pPr>
            <w:r>
              <w:rPr>
                <w:rFonts w:ascii="Calibri" w:hAnsi="Calibri"/>
                <w:sz w:val="20"/>
                <w:szCs w:val="20"/>
                <w:lang w:val="en-GB" w:eastAsia="en-US"/>
              </w:rPr>
              <w:t>*****</w:t>
            </w:r>
          </w:p>
          <w:p w:rsidR="007F384C" w:rsidRDefault="007F384C">
            <w:pPr>
              <w:spacing w:line="276" w:lineRule="auto"/>
              <w:jc w:val="both"/>
              <w:rPr>
                <w:rFonts w:ascii="Calibri" w:hAnsi="Calibri"/>
                <w:sz w:val="20"/>
                <w:szCs w:val="20"/>
                <w:lang w:val="en-GB" w:eastAsia="en-US"/>
              </w:rPr>
            </w:pPr>
          </w:p>
          <w:p w:rsidR="007F384C" w:rsidRDefault="007F384C">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7F384C" w:rsidRDefault="007F384C">
            <w:pPr>
              <w:pStyle w:val="Lijstalinea"/>
              <w:spacing w:line="276" w:lineRule="auto"/>
              <w:ind w:left="126"/>
              <w:jc w:val="center"/>
              <w:rPr>
                <w:i/>
                <w:iCs/>
                <w:sz w:val="20"/>
                <w:szCs w:val="20"/>
                <w:lang w:val="en-GB" w:eastAsia="en-US"/>
              </w:rPr>
            </w:pPr>
          </w:p>
          <w:p w:rsidR="007F384C" w:rsidRDefault="007F384C">
            <w:pPr>
              <w:pStyle w:val="Lijstalinea"/>
              <w:spacing w:line="276" w:lineRule="auto"/>
              <w:ind w:left="126"/>
              <w:jc w:val="center"/>
              <w:rPr>
                <w:rStyle w:val="Hyperlink"/>
              </w:rPr>
            </w:pPr>
            <w:hyperlink r:id="rId15" w:history="1">
              <w:r>
                <w:rPr>
                  <w:rStyle w:val="Hyperlink"/>
                  <w:i/>
                  <w:iCs/>
                  <w:sz w:val="20"/>
                  <w:szCs w:val="20"/>
                  <w:lang w:val="en-GB" w:eastAsia="en-US"/>
                </w:rPr>
                <w:t>www.cfe-eutax.org</w:t>
              </w:r>
            </w:hyperlink>
          </w:p>
          <w:p w:rsidR="007F384C" w:rsidRDefault="007F384C">
            <w:pPr>
              <w:pStyle w:val="Lijstalinea"/>
              <w:spacing w:line="276" w:lineRule="auto"/>
              <w:ind w:left="126"/>
              <w:jc w:val="center"/>
              <w:rPr>
                <w:rStyle w:val="Hyperlink"/>
                <w:i/>
                <w:iCs/>
                <w:sz w:val="20"/>
                <w:szCs w:val="20"/>
                <w:lang w:val="en-GB" w:eastAsia="en-US"/>
              </w:rPr>
            </w:pPr>
          </w:p>
          <w:p w:rsidR="007F384C" w:rsidRDefault="007F384C">
            <w:pPr>
              <w:pStyle w:val="Lijstalinea"/>
              <w:spacing w:line="276" w:lineRule="auto"/>
              <w:ind w:left="126"/>
              <w:jc w:val="center"/>
              <w:rPr>
                <w:lang w:val="en-US"/>
              </w:rPr>
            </w:pPr>
            <w:r>
              <w:rPr>
                <w:i/>
                <w:iCs/>
                <w:sz w:val="20"/>
                <w:szCs w:val="20"/>
                <w:lang w:val="en-US" w:eastAsia="en-US"/>
              </w:rPr>
              <w:t xml:space="preserve">Follow us on </w:t>
            </w:r>
            <w:hyperlink r:id="rId16" w:history="1">
              <w:r>
                <w:rPr>
                  <w:rStyle w:val="Hyperlink"/>
                  <w:sz w:val="20"/>
                  <w:szCs w:val="20"/>
                  <w:lang w:val="en-US" w:eastAsia="en-US"/>
                </w:rPr>
                <w:t>Linked in</w:t>
              </w:r>
            </w:hyperlink>
            <w:r>
              <w:rPr>
                <w:sz w:val="20"/>
                <w:szCs w:val="20"/>
                <w:lang w:eastAsia="en-US"/>
              </w:rPr>
              <w:t xml:space="preserve"> </w:t>
            </w:r>
            <w:r>
              <w:rPr>
                <w:noProof/>
                <w:sz w:val="20"/>
                <w:szCs w:val="20"/>
              </w:rPr>
              <w:drawing>
                <wp:inline distT="0" distB="0" distL="0" distR="0" wp14:anchorId="2B38407B" wp14:editId="280E720C">
                  <wp:extent cx="200025" cy="190500"/>
                  <wp:effectExtent l="0" t="0" r="9525" b="0"/>
                  <wp:docPr id="1" name="Afbeelding 1" descr="cid:image004.png@01CFAA5C.15EA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CFAA5C.15EA18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lang w:eastAsia="en-US"/>
              </w:rPr>
              <w:t> </w:t>
            </w:r>
          </w:p>
        </w:tc>
      </w:tr>
      <w:tr w:rsidR="007F384C" w:rsidTr="007F384C">
        <w:trPr>
          <w:trHeight w:val="11"/>
          <w:tblCellSpacing w:w="0" w:type="dxa"/>
        </w:trPr>
        <w:tc>
          <w:tcPr>
            <w:tcW w:w="10172" w:type="dxa"/>
            <w:tcBorders>
              <w:top w:val="nil"/>
              <w:left w:val="nil"/>
              <w:bottom w:val="nil"/>
              <w:right w:val="nil"/>
            </w:tcBorders>
            <w:tcMar>
              <w:top w:w="375" w:type="dxa"/>
              <w:left w:w="300" w:type="dxa"/>
              <w:bottom w:w="300" w:type="dxa"/>
              <w:right w:w="300" w:type="dxa"/>
            </w:tcMar>
            <w:vAlign w:val="center"/>
          </w:tcPr>
          <w:p w:rsidR="007F384C" w:rsidRDefault="007F384C">
            <w:pPr>
              <w:spacing w:line="276" w:lineRule="auto"/>
              <w:jc w:val="both"/>
              <w:rPr>
                <w:rFonts w:ascii="Calibri" w:hAnsi="Calibri"/>
                <w:sz w:val="2"/>
                <w:szCs w:val="20"/>
                <w:lang w:val="en-US" w:eastAsia="en-US"/>
              </w:rPr>
            </w:pPr>
          </w:p>
        </w:tc>
      </w:tr>
    </w:tbl>
    <w:p w:rsidR="007F384C" w:rsidRDefault="007F384C" w:rsidP="007F384C">
      <w:pPr>
        <w:rPr>
          <w:lang w:val="en-US"/>
        </w:rPr>
      </w:pPr>
    </w:p>
    <w:p w:rsidR="00667086" w:rsidRDefault="00667086"/>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4C"/>
    <w:rsid w:val="00667086"/>
    <w:rsid w:val="007F3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384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F384C"/>
    <w:rPr>
      <w:color w:val="0000FF"/>
      <w:u w:val="single"/>
    </w:rPr>
  </w:style>
  <w:style w:type="paragraph" w:styleId="Lijstalinea">
    <w:name w:val="List Paragraph"/>
    <w:basedOn w:val="Standaard"/>
    <w:uiPriority w:val="34"/>
    <w:qFormat/>
    <w:rsid w:val="007F384C"/>
    <w:pPr>
      <w:ind w:left="720"/>
    </w:pPr>
    <w:rPr>
      <w:rFonts w:ascii="Calibri" w:hAnsi="Calibri"/>
      <w:sz w:val="22"/>
      <w:szCs w:val="22"/>
    </w:rPr>
  </w:style>
  <w:style w:type="paragraph" w:styleId="Ballontekst">
    <w:name w:val="Balloon Text"/>
    <w:basedOn w:val="Standaard"/>
    <w:link w:val="BallontekstChar"/>
    <w:uiPriority w:val="99"/>
    <w:semiHidden/>
    <w:unhideWhenUsed/>
    <w:rsid w:val="007F384C"/>
    <w:rPr>
      <w:rFonts w:ascii="Tahoma" w:hAnsi="Tahoma" w:cs="Tahoma"/>
      <w:sz w:val="16"/>
      <w:szCs w:val="16"/>
    </w:rPr>
  </w:style>
  <w:style w:type="character" w:customStyle="1" w:styleId="BallontekstChar">
    <w:name w:val="Ballontekst Char"/>
    <w:basedOn w:val="Standaardalinea-lettertype"/>
    <w:link w:val="Ballontekst"/>
    <w:uiPriority w:val="99"/>
    <w:semiHidden/>
    <w:rsid w:val="007F384C"/>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384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F384C"/>
    <w:rPr>
      <w:color w:val="0000FF"/>
      <w:u w:val="single"/>
    </w:rPr>
  </w:style>
  <w:style w:type="paragraph" w:styleId="Lijstalinea">
    <w:name w:val="List Paragraph"/>
    <w:basedOn w:val="Standaard"/>
    <w:uiPriority w:val="34"/>
    <w:qFormat/>
    <w:rsid w:val="007F384C"/>
    <w:pPr>
      <w:ind w:left="720"/>
    </w:pPr>
    <w:rPr>
      <w:rFonts w:ascii="Calibri" w:hAnsi="Calibri"/>
      <w:sz w:val="22"/>
      <w:szCs w:val="22"/>
    </w:rPr>
  </w:style>
  <w:style w:type="paragraph" w:styleId="Ballontekst">
    <w:name w:val="Balloon Text"/>
    <w:basedOn w:val="Standaard"/>
    <w:link w:val="BallontekstChar"/>
    <w:uiPriority w:val="99"/>
    <w:semiHidden/>
    <w:unhideWhenUsed/>
    <w:rsid w:val="007F384C"/>
    <w:rPr>
      <w:rFonts w:ascii="Tahoma" w:hAnsi="Tahoma" w:cs="Tahoma"/>
      <w:sz w:val="16"/>
      <w:szCs w:val="16"/>
    </w:rPr>
  </w:style>
  <w:style w:type="character" w:customStyle="1" w:styleId="BallontekstChar">
    <w:name w:val="Ballontekst Char"/>
    <w:basedOn w:val="Standaardalinea-lettertype"/>
    <w:link w:val="Ballontekst"/>
    <w:uiPriority w:val="99"/>
    <w:semiHidden/>
    <w:rsid w:val="007F384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STATEMENT-15-4083_en.htm" TargetMode="External"/><Relationship Id="rId13" Type="http://schemas.openxmlformats.org/officeDocument/2006/relationships/hyperlink" Target="http://www.europarl.europa.eu/news/de/news-room/content/20150205IPR19622/html/EP-special-committee-on-member-states'-tax-rulings-up-for-a-vote-by-full-House" TargetMode="External"/><Relationship Id="rId18" Type="http://schemas.openxmlformats.org/officeDocument/2006/relationships/image" Target="cid:image004.png@01CFAA5C.15EA1810" TargetMode="External"/><Relationship Id="rId3" Type="http://schemas.openxmlformats.org/officeDocument/2006/relationships/settings" Target="settings.xml"/><Relationship Id="rId7" Type="http://schemas.openxmlformats.org/officeDocument/2006/relationships/hyperlink" Target="http://europa.eu/rapid/press-release_IP-15-4080_en.htm" TargetMode="External"/><Relationship Id="rId12" Type="http://schemas.openxmlformats.org/officeDocument/2006/relationships/hyperlink" Target="http://www.oecd.org/ctp/explanatory-paper-beps-action-5-agreement-on-modified-nexus-approach-for-ip-regimes.pdf" TargetMode="External"/><Relationship Id="rId1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hyperlink" Target="http://www.linkedin.com/company/confederation-fiscal-europeene?trk=company_nam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2.jpg@01D04471.8E52D210" TargetMode="External"/><Relationship Id="rId11" Type="http://schemas.openxmlformats.org/officeDocument/2006/relationships/hyperlink" Target="http://www.oecd.org/ctp/beps-action-13-guidance-implementation-tp-documentation-cbc-reporting.pdf" TargetMode="External"/><Relationship Id="rId5" Type="http://schemas.openxmlformats.org/officeDocument/2006/relationships/image" Target="media/image1.jpeg"/><Relationship Id="rId15" Type="http://schemas.openxmlformats.org/officeDocument/2006/relationships/hyperlink" Target="http://www.cfe-eutax.org" TargetMode="External"/><Relationship Id="rId10" Type="http://schemas.openxmlformats.org/officeDocument/2006/relationships/hyperlink" Target="http://www.oecd.org/ctp/beps-action-15-mandate-for-development-of-multilateral-instrumen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legal-content/EN/TXT/PDF/?uri=OJ:JOC_2015_044_R_0002&amp;amp;from=EN" TargetMode="External"/><Relationship Id="rId14" Type="http://schemas.openxmlformats.org/officeDocument/2006/relationships/hyperlink" Target="http://www.oecd.org/tax/beps-webcasts.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417ADBFC</Template>
  <TotalTime>3</TotalTime>
  <Pages>2</Pages>
  <Words>852</Words>
  <Characters>4690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2015-02-09T15:54:00Z</dcterms:created>
  <dcterms:modified xsi:type="dcterms:W3CDTF">2015-02-09T15:57:00Z</dcterms:modified>
</cp:coreProperties>
</file>