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F54784" w:rsidTr="00F54784">
        <w:trPr>
          <w:trHeight w:val="6340"/>
          <w:tblCellSpacing w:w="0" w:type="dxa"/>
        </w:trPr>
        <w:tc>
          <w:tcPr>
            <w:tcW w:w="1017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F54784">
              <w:trPr>
                <w:trHeight w:val="76"/>
                <w:tblCellSpacing w:w="0" w:type="dxa"/>
              </w:trPr>
              <w:tc>
                <w:tcPr>
                  <w:tcW w:w="9094" w:type="dxa"/>
                  <w:vAlign w:val="center"/>
                  <w:hideMark/>
                </w:tcPr>
                <w:p w:rsidR="00F54784" w:rsidRDefault="00F54784">
                  <w:pPr>
                    <w:spacing w:line="76" w:lineRule="atLeast"/>
                    <w:jc w:val="both"/>
                    <w:rPr>
                      <w:rFonts w:ascii="Calibri" w:hAnsi="Calibri"/>
                      <w:sz w:val="20"/>
                      <w:szCs w:val="20"/>
                      <w:lang w:val="en-GB" w:eastAsia="en-US"/>
                    </w:rPr>
                  </w:pPr>
                  <w:bookmarkStart w:id="0" w:name="_GoBack"/>
                  <w:bookmarkEnd w:id="0"/>
                  <w:r>
                    <w:rPr>
                      <w:rFonts w:ascii="Calibri" w:hAnsi="Calibri"/>
                      <w:noProof/>
                      <w:sz w:val="20"/>
                      <w:szCs w:val="20"/>
                    </w:rPr>
                    <w:drawing>
                      <wp:inline distT="0" distB="0" distL="0" distR="0" wp14:anchorId="5DB149C1" wp14:editId="756758BC">
                        <wp:extent cx="5760720" cy="670560"/>
                        <wp:effectExtent l="0" t="0" r="0" b="0"/>
                        <wp:docPr id="2" name="Afbeelding 2" descr="cid:image002.jpg@01D03FCB.3ED2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3FCB.3ED2FC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670560"/>
                                </a:xfrm>
                                <a:prstGeom prst="rect">
                                  <a:avLst/>
                                </a:prstGeom>
                                <a:noFill/>
                                <a:ln>
                                  <a:noFill/>
                                </a:ln>
                              </pic:spPr>
                            </pic:pic>
                          </a:graphicData>
                        </a:graphic>
                      </wp:inline>
                    </w:drawing>
                  </w:r>
                </w:p>
              </w:tc>
              <w:tc>
                <w:tcPr>
                  <w:tcW w:w="0" w:type="auto"/>
                  <w:vAlign w:val="center"/>
                </w:tcPr>
                <w:p w:rsidR="00F54784" w:rsidRDefault="00F54784">
                  <w:pPr>
                    <w:spacing w:line="276" w:lineRule="auto"/>
                    <w:jc w:val="both"/>
                    <w:rPr>
                      <w:rFonts w:ascii="Calibri" w:hAnsi="Calibri"/>
                      <w:color w:val="ACABAB"/>
                      <w:sz w:val="20"/>
                      <w:szCs w:val="20"/>
                      <w:lang w:val="en-GB" w:eastAsia="en-US"/>
                    </w:rPr>
                  </w:pPr>
                </w:p>
                <w:p w:rsidR="00F54784" w:rsidRDefault="00F54784">
                  <w:pPr>
                    <w:spacing w:line="76" w:lineRule="atLeast"/>
                    <w:jc w:val="both"/>
                    <w:rPr>
                      <w:rFonts w:ascii="Calibri" w:hAnsi="Calibri"/>
                      <w:color w:val="ACABAB"/>
                      <w:sz w:val="20"/>
                      <w:szCs w:val="20"/>
                      <w:lang w:val="en-GB" w:eastAsia="en-US"/>
                    </w:rPr>
                  </w:pPr>
                </w:p>
              </w:tc>
            </w:tr>
          </w:tbl>
          <w:p w:rsidR="00F54784" w:rsidRDefault="00F54784">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F54784" w:rsidRDefault="00F54784">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F54784" w:rsidRDefault="00F54784">
            <w:pPr>
              <w:shd w:val="clear" w:color="auto" w:fill="FEFEFE"/>
              <w:spacing w:line="276" w:lineRule="auto"/>
              <w:ind w:left="7371"/>
              <w:jc w:val="both"/>
              <w:rPr>
                <w:rFonts w:ascii="Calibri" w:hAnsi="Calibri"/>
                <w:b/>
                <w:bCs/>
                <w:color w:val="000000"/>
                <w:sz w:val="20"/>
                <w:szCs w:val="20"/>
                <w:lang w:val="en" w:eastAsia="en-US"/>
              </w:rPr>
            </w:pPr>
            <w:r>
              <w:rPr>
                <w:rFonts w:ascii="Calibri" w:hAnsi="Calibri"/>
                <w:b/>
                <w:bCs/>
                <w:color w:val="000000"/>
                <w:sz w:val="20"/>
                <w:szCs w:val="20"/>
                <w:lang w:val="en" w:eastAsia="en-US"/>
              </w:rPr>
              <w:t>       3 February 2015</w:t>
            </w:r>
          </w:p>
          <w:p w:rsidR="00F54784" w:rsidRDefault="00F54784">
            <w:pPr>
              <w:spacing w:line="276" w:lineRule="auto"/>
              <w:jc w:val="both"/>
              <w:rPr>
                <w:rFonts w:ascii="Calibri" w:hAnsi="Calibri"/>
                <w:sz w:val="20"/>
                <w:szCs w:val="20"/>
                <w:lang w:val="en" w:eastAsia="en-US"/>
              </w:rPr>
            </w:pPr>
          </w:p>
          <w:p w:rsidR="00F54784" w:rsidRDefault="00F54784">
            <w:pPr>
              <w:spacing w:line="276" w:lineRule="auto"/>
              <w:jc w:val="both"/>
              <w:rPr>
                <w:rFonts w:ascii="Calibri" w:hAnsi="Calibri"/>
                <w:sz w:val="20"/>
                <w:szCs w:val="20"/>
                <w:lang w:val="en" w:eastAsia="en-US"/>
              </w:rPr>
            </w:pPr>
          </w:p>
          <w:p w:rsidR="00F54784" w:rsidRDefault="00F54784">
            <w:pPr>
              <w:pStyle w:val="Lijstalinea"/>
              <w:spacing w:line="276" w:lineRule="auto"/>
              <w:ind w:left="709" w:hanging="360"/>
              <w:rPr>
                <w:b/>
                <w:bCs/>
                <w:sz w:val="20"/>
                <w:szCs w:val="20"/>
                <w:lang w:val="en-GB" w:eastAsia="en-US"/>
              </w:rPr>
            </w:pPr>
            <w:r>
              <w:rPr>
                <w:b/>
                <w:bCs/>
                <w:sz w:val="20"/>
                <w:szCs w:val="20"/>
                <w:lang w:val="en-GB" w:eastAsia="en-US"/>
              </w:rPr>
              <w:t>1.</w:t>
            </w:r>
            <w:r>
              <w:rPr>
                <w:rFonts w:ascii="Times New Roman" w:hAnsi="Times New Roman"/>
                <w:b/>
                <w:bCs/>
                <w:sz w:val="14"/>
                <w:szCs w:val="14"/>
                <w:lang w:val="en-GB" w:eastAsia="en-US"/>
              </w:rPr>
              <w:t xml:space="preserve">       </w:t>
            </w:r>
            <w:r>
              <w:rPr>
                <w:b/>
                <w:bCs/>
                <w:sz w:val="20"/>
                <w:szCs w:val="20"/>
                <w:lang w:val="en-GB" w:eastAsia="en-US"/>
              </w:rPr>
              <w:t>CFE Forum 2015: "Tax governance and tax risk management in a post-BEPS world" on 26 March 2015 in Brussels</w:t>
            </w:r>
          </w:p>
          <w:p w:rsidR="00F54784" w:rsidRDefault="00F54784">
            <w:pPr>
              <w:pStyle w:val="Lijstalinea"/>
              <w:spacing w:line="276" w:lineRule="auto"/>
              <w:ind w:left="709"/>
              <w:rPr>
                <w:b/>
                <w:bCs/>
                <w:sz w:val="20"/>
                <w:szCs w:val="20"/>
                <w:lang w:val="en-GB" w:eastAsia="en-US"/>
              </w:rPr>
            </w:pPr>
          </w:p>
          <w:p w:rsidR="00F54784" w:rsidRDefault="00F54784">
            <w:pPr>
              <w:pStyle w:val="Lijstalinea"/>
              <w:spacing w:line="276" w:lineRule="auto"/>
              <w:ind w:left="567" w:right="141"/>
              <w:jc w:val="both"/>
              <w:rPr>
                <w:sz w:val="20"/>
                <w:szCs w:val="20"/>
                <w:lang w:val="en-GB" w:eastAsia="en-US"/>
              </w:rPr>
            </w:pPr>
            <w:r>
              <w:rPr>
                <w:sz w:val="20"/>
                <w:szCs w:val="20"/>
                <w:lang w:val="en-GB" w:eastAsia="en-US"/>
              </w:rPr>
              <w:t>As the BEPS project proceeds to completion, it is crucial that companies, their tax advisers and tax administrations are aware of the implications of the new international framework grounded on transparency, multilateral cooperation and information exchange. With concepts such as the “spirit of the law”, “economic substance” and “value creation” coming to the fore, tax mitigation and the structuring of companies’ businesses will have to take into account a larger number of variables and a different set of risks.</w:t>
            </w:r>
          </w:p>
          <w:p w:rsidR="00F54784" w:rsidRDefault="00F54784">
            <w:pPr>
              <w:pStyle w:val="Lijstalinea"/>
              <w:spacing w:line="276" w:lineRule="auto"/>
              <w:ind w:left="567" w:right="141"/>
              <w:jc w:val="both"/>
              <w:rPr>
                <w:sz w:val="20"/>
                <w:szCs w:val="20"/>
                <w:lang w:val="en-GB" w:eastAsia="en-US"/>
              </w:rPr>
            </w:pPr>
            <w:r>
              <w:rPr>
                <w:sz w:val="20"/>
                <w:szCs w:val="20"/>
                <w:lang w:val="en-GB" w:eastAsia="en-US"/>
              </w:rPr>
              <w:t>The forthcoming 2015 CFE Forum will address these pressing topics in direct and in indirect tax and help companies and their tax advisers prepare for the future.</w:t>
            </w:r>
          </w:p>
          <w:p w:rsidR="00F54784" w:rsidRDefault="00F54784">
            <w:pPr>
              <w:pStyle w:val="Lijstalinea"/>
              <w:spacing w:line="276" w:lineRule="auto"/>
              <w:ind w:left="709"/>
              <w:rPr>
                <w:sz w:val="20"/>
                <w:szCs w:val="20"/>
                <w:lang w:val="en-GB" w:eastAsia="en-US"/>
              </w:rPr>
            </w:pPr>
          </w:p>
          <w:p w:rsidR="00F54784" w:rsidRDefault="00F54784">
            <w:pPr>
              <w:pStyle w:val="Lijstalinea"/>
              <w:spacing w:line="276" w:lineRule="auto"/>
              <w:ind w:left="1069" w:hanging="360"/>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Programme and registration: </w:t>
            </w:r>
            <w:hyperlink r:id="rId7" w:history="1">
              <w:r>
                <w:rPr>
                  <w:rStyle w:val="Hyperlink"/>
                  <w:sz w:val="20"/>
                  <w:szCs w:val="20"/>
                  <w:lang w:val="en-GB" w:eastAsia="en-US"/>
                </w:rPr>
                <w:t>EN</w:t>
              </w:r>
            </w:hyperlink>
          </w:p>
          <w:p w:rsidR="00F54784" w:rsidRDefault="00F54784">
            <w:pPr>
              <w:spacing w:line="276" w:lineRule="auto"/>
              <w:rPr>
                <w:rFonts w:ascii="Calibri" w:hAnsi="Calibri"/>
                <w:sz w:val="20"/>
                <w:szCs w:val="20"/>
                <w:lang w:val="en-GB" w:eastAsia="en-US"/>
              </w:rPr>
            </w:pPr>
          </w:p>
          <w:p w:rsidR="00F54784" w:rsidRDefault="00F54784">
            <w:pPr>
              <w:spacing w:line="276" w:lineRule="auto"/>
              <w:rPr>
                <w:rFonts w:ascii="Calibri" w:hAnsi="Calibri"/>
                <w:sz w:val="20"/>
                <w:szCs w:val="20"/>
                <w:lang w:val="en-GB" w:eastAsia="en-US"/>
              </w:rPr>
            </w:pPr>
          </w:p>
          <w:p w:rsidR="00F54784" w:rsidRDefault="00F54784">
            <w:pPr>
              <w:pStyle w:val="Lijstalinea"/>
              <w:spacing w:line="276" w:lineRule="auto"/>
              <w:ind w:left="709" w:hanging="360"/>
              <w:rPr>
                <w:b/>
                <w:bCs/>
                <w:sz w:val="20"/>
                <w:szCs w:val="20"/>
                <w:lang w:val="en-GB" w:eastAsia="en-US"/>
              </w:rPr>
            </w:pPr>
            <w:r>
              <w:rPr>
                <w:b/>
                <w:bCs/>
                <w:sz w:val="20"/>
                <w:szCs w:val="20"/>
                <w:lang w:val="en-GB" w:eastAsia="en-US"/>
              </w:rPr>
              <w:t>2.</w:t>
            </w:r>
            <w:r>
              <w:rPr>
                <w:rFonts w:ascii="Times New Roman" w:hAnsi="Times New Roman"/>
                <w:b/>
                <w:bCs/>
                <w:sz w:val="14"/>
                <w:szCs w:val="14"/>
                <w:lang w:val="en-GB" w:eastAsia="en-US"/>
              </w:rPr>
              <w:t xml:space="preserve">       </w:t>
            </w:r>
            <w:r>
              <w:rPr>
                <w:b/>
                <w:bCs/>
                <w:sz w:val="20"/>
                <w:szCs w:val="20"/>
                <w:lang w:val="en-GB" w:eastAsia="en-US"/>
              </w:rPr>
              <w:t>Cross-border group relief and final losses: CJEU dismisses infringement action against the UK</w:t>
            </w:r>
          </w:p>
          <w:p w:rsidR="00F54784" w:rsidRDefault="00F54784">
            <w:pPr>
              <w:spacing w:line="276" w:lineRule="auto"/>
              <w:rPr>
                <w:rFonts w:ascii="Calibri" w:hAnsi="Calibri"/>
                <w:sz w:val="20"/>
                <w:szCs w:val="20"/>
                <w:lang w:val="en-GB" w:eastAsia="en-US"/>
              </w:rPr>
            </w:pPr>
          </w:p>
          <w:p w:rsidR="00F54784" w:rsidRDefault="00F54784">
            <w:pPr>
              <w:spacing w:line="276" w:lineRule="auto"/>
              <w:ind w:left="567" w:right="141"/>
              <w:jc w:val="both"/>
              <w:rPr>
                <w:rFonts w:ascii="Calibri" w:hAnsi="Calibri"/>
                <w:sz w:val="20"/>
                <w:szCs w:val="20"/>
                <w:lang w:val="en-GB" w:eastAsia="en-US"/>
              </w:rPr>
            </w:pPr>
            <w:r>
              <w:rPr>
                <w:rFonts w:ascii="Calibri" w:hAnsi="Calibri"/>
                <w:sz w:val="20"/>
                <w:szCs w:val="20"/>
                <w:lang w:val="en-GB" w:eastAsia="en-US"/>
              </w:rPr>
              <w:t>On 3 February 2015, the EU Court of Justice (CJEU) has found UK legislation making cross-border loss relief subject to certain conditions compatible with EU law. The decision dismisses the European Commission´s infringement action against the UK (case C-172/13). The Commission had held that the legislation at issue (which had been enacted as a consequence of the CJEU´s 2005 judgment in the case Marks &amp; Spencer) infringes the freedom of establishment to the extent that losses were only to be considered final if at the end of the relevant accounting period no rule on carrying-forward of losses exists in the country of the subsidiary or the subsidiary that incurred the losses had gone into liquidation, and that the UK provision excluded cases before April 2006 from cross-border group relief. The Court did not agree that the refusal of loss relief where there is no possibility of loss-carrying-forward in the subsidiary´s state violates the freedom of establishment. Moreover, it disagreed with the Commission´s conclusion that the subsidiary would have to go into liquidation to make losses final and found that the Commission had not established that losses incurred before April 2006 were actually not eligible.</w:t>
            </w:r>
          </w:p>
          <w:p w:rsidR="00F54784" w:rsidRDefault="00F54784">
            <w:pPr>
              <w:spacing w:line="276" w:lineRule="auto"/>
              <w:rPr>
                <w:rFonts w:ascii="Calibri" w:hAnsi="Calibri"/>
                <w:sz w:val="20"/>
                <w:szCs w:val="20"/>
                <w:lang w:val="en-GB" w:eastAsia="en-US"/>
              </w:rPr>
            </w:pPr>
          </w:p>
          <w:p w:rsidR="00F54784" w:rsidRDefault="00F54784">
            <w:pPr>
              <w:pStyle w:val="Lijstalinea"/>
              <w:spacing w:line="276" w:lineRule="auto"/>
              <w:ind w:left="1134" w:hanging="283"/>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Judgment: </w:t>
            </w:r>
            <w:hyperlink r:id="rId8" w:history="1">
              <w:r>
                <w:rPr>
                  <w:rStyle w:val="Hyperlink"/>
                  <w:sz w:val="20"/>
                  <w:szCs w:val="20"/>
                  <w:lang w:val="en-GB" w:eastAsia="en-US"/>
                </w:rPr>
                <w:t>All EU languages</w:t>
              </w:r>
            </w:hyperlink>
          </w:p>
          <w:p w:rsidR="00F54784" w:rsidRDefault="00F54784">
            <w:pPr>
              <w:pStyle w:val="Lijstalinea"/>
              <w:spacing w:line="276" w:lineRule="auto"/>
              <w:ind w:left="1134" w:hanging="283"/>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Press release: </w:t>
            </w:r>
            <w:hyperlink r:id="rId9" w:history="1">
              <w:r>
                <w:rPr>
                  <w:rStyle w:val="Hyperlink"/>
                  <w:sz w:val="20"/>
                  <w:szCs w:val="20"/>
                  <w:lang w:val="en-GB" w:eastAsia="en-US"/>
                </w:rPr>
                <w:t>EN</w:t>
              </w:r>
            </w:hyperlink>
          </w:p>
          <w:p w:rsidR="00F54784" w:rsidRDefault="00F54784">
            <w:pPr>
              <w:spacing w:line="276" w:lineRule="auto"/>
              <w:rPr>
                <w:rFonts w:ascii="Calibri" w:hAnsi="Calibri"/>
                <w:sz w:val="20"/>
                <w:szCs w:val="20"/>
                <w:lang w:val="en-GB" w:eastAsia="en-US"/>
              </w:rPr>
            </w:pPr>
          </w:p>
          <w:p w:rsidR="00F54784" w:rsidRDefault="00F54784">
            <w:pPr>
              <w:spacing w:line="276" w:lineRule="auto"/>
              <w:rPr>
                <w:rFonts w:ascii="Calibri" w:hAnsi="Calibri"/>
                <w:sz w:val="20"/>
                <w:szCs w:val="20"/>
                <w:lang w:val="en-GB" w:eastAsia="en-US"/>
              </w:rPr>
            </w:pPr>
          </w:p>
          <w:p w:rsidR="00F54784" w:rsidRDefault="00F54784">
            <w:pPr>
              <w:pStyle w:val="Lijstalinea"/>
              <w:spacing w:line="276" w:lineRule="auto"/>
              <w:ind w:left="709" w:hanging="360"/>
              <w:rPr>
                <w:sz w:val="20"/>
                <w:szCs w:val="20"/>
                <w:lang w:val="en-GB" w:eastAsia="en-US"/>
              </w:rPr>
            </w:pPr>
            <w:r>
              <w:rPr>
                <w:b/>
                <w:bCs/>
                <w:sz w:val="20"/>
                <w:szCs w:val="20"/>
                <w:lang w:val="en-GB" w:eastAsia="en-US"/>
              </w:rPr>
              <w:t>3.</w:t>
            </w:r>
            <w:r>
              <w:rPr>
                <w:rFonts w:ascii="Times New Roman" w:hAnsi="Times New Roman"/>
                <w:b/>
                <w:bCs/>
                <w:sz w:val="14"/>
                <w:szCs w:val="14"/>
                <w:lang w:val="en-GB" w:eastAsia="en-US"/>
              </w:rPr>
              <w:t xml:space="preserve">       </w:t>
            </w:r>
            <w:r>
              <w:rPr>
                <w:b/>
                <w:bCs/>
                <w:sz w:val="20"/>
                <w:szCs w:val="20"/>
                <w:lang w:val="en-GB" w:eastAsia="en-US"/>
              </w:rPr>
              <w:t>Commission renews Joint Transfer Pricing Forum</w:t>
            </w:r>
          </w:p>
          <w:p w:rsidR="00F54784" w:rsidRDefault="00F54784">
            <w:pPr>
              <w:pStyle w:val="Lijstalinea"/>
              <w:spacing w:line="276" w:lineRule="auto"/>
              <w:ind w:left="426"/>
              <w:rPr>
                <w:sz w:val="20"/>
                <w:szCs w:val="20"/>
                <w:lang w:val="en-GB" w:eastAsia="en-US"/>
              </w:rPr>
            </w:pPr>
          </w:p>
          <w:p w:rsidR="00F54784" w:rsidRDefault="00F54784">
            <w:pPr>
              <w:pStyle w:val="Lijstalinea"/>
              <w:spacing w:line="276" w:lineRule="auto"/>
              <w:ind w:left="567" w:right="141"/>
              <w:jc w:val="both"/>
              <w:rPr>
                <w:sz w:val="20"/>
                <w:szCs w:val="20"/>
                <w:lang w:val="en-GB" w:eastAsia="en-US"/>
              </w:rPr>
            </w:pPr>
            <w:r>
              <w:rPr>
                <w:sz w:val="20"/>
                <w:szCs w:val="20"/>
                <w:lang w:val="en-GB" w:eastAsia="en-US"/>
              </w:rPr>
              <w:t xml:space="preserve">On 26 January 2015, the European Commission has decided to set up a new Joint Transfer Pricing Forum (JTPF) consisting of representatives of the EU member states and 18 organisations to advise the Commission </w:t>
            </w:r>
            <w:r>
              <w:rPr>
                <w:sz w:val="20"/>
                <w:szCs w:val="20"/>
                <w:lang w:val="en-GB" w:eastAsia="en-US"/>
              </w:rPr>
              <w:lastRenderedPageBreak/>
              <w:t>in finding practical solutions to transfer pricing issues. The mandate of the JTPF will be two years. Deadline for applications is 25 February 2015.</w:t>
            </w:r>
          </w:p>
          <w:p w:rsidR="00F54784" w:rsidRDefault="00F54784">
            <w:pPr>
              <w:pStyle w:val="Lijstalinea"/>
              <w:spacing w:line="276" w:lineRule="auto"/>
              <w:ind w:left="426"/>
              <w:rPr>
                <w:sz w:val="20"/>
                <w:szCs w:val="20"/>
                <w:lang w:val="en-GB" w:eastAsia="en-US"/>
              </w:rPr>
            </w:pPr>
          </w:p>
          <w:p w:rsidR="00F54784" w:rsidRDefault="00F54784">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proofErr w:type="spellStart"/>
            <w:r>
              <w:rPr>
                <w:sz w:val="20"/>
                <w:szCs w:val="20"/>
                <w:lang w:eastAsia="en-US"/>
              </w:rPr>
              <w:t>Commission</w:t>
            </w:r>
            <w:proofErr w:type="spellEnd"/>
            <w:r>
              <w:rPr>
                <w:sz w:val="20"/>
                <w:szCs w:val="20"/>
                <w:lang w:eastAsia="en-US"/>
              </w:rPr>
              <w:t xml:space="preserve"> </w:t>
            </w:r>
            <w:proofErr w:type="spellStart"/>
            <w:r>
              <w:rPr>
                <w:sz w:val="20"/>
                <w:szCs w:val="20"/>
                <w:lang w:eastAsia="en-US"/>
              </w:rPr>
              <w:t>decision</w:t>
            </w:r>
            <w:proofErr w:type="spellEnd"/>
            <w:r>
              <w:rPr>
                <w:sz w:val="20"/>
                <w:szCs w:val="20"/>
                <w:lang w:eastAsia="en-US"/>
              </w:rPr>
              <w:t xml:space="preserve">: </w:t>
            </w:r>
            <w:hyperlink r:id="rId10" w:history="1">
              <w:r>
                <w:rPr>
                  <w:rStyle w:val="Hyperlink"/>
                  <w:sz w:val="20"/>
                  <w:szCs w:val="20"/>
                  <w:lang w:eastAsia="en-US"/>
                </w:rPr>
                <w:t>EN, DE, FR</w:t>
              </w:r>
            </w:hyperlink>
          </w:p>
          <w:p w:rsidR="00F54784" w:rsidRDefault="00F54784">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 xml:space="preserve">Call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applications</w:t>
            </w:r>
            <w:proofErr w:type="spellEnd"/>
            <w:r>
              <w:rPr>
                <w:sz w:val="20"/>
                <w:szCs w:val="20"/>
                <w:lang w:eastAsia="en-US"/>
              </w:rPr>
              <w:t xml:space="preserve">: </w:t>
            </w:r>
            <w:hyperlink r:id="rId11" w:history="1">
              <w:r>
                <w:rPr>
                  <w:rStyle w:val="Hyperlink"/>
                  <w:sz w:val="20"/>
                  <w:szCs w:val="20"/>
                  <w:lang w:eastAsia="en-US"/>
                </w:rPr>
                <w:t>EN, DE, FR</w:t>
              </w:r>
            </w:hyperlink>
          </w:p>
          <w:p w:rsidR="00F54784" w:rsidRDefault="00F54784">
            <w:pPr>
              <w:spacing w:line="276" w:lineRule="auto"/>
              <w:rPr>
                <w:rFonts w:ascii="Calibri" w:hAnsi="Calibri"/>
                <w:sz w:val="20"/>
                <w:szCs w:val="20"/>
                <w:lang w:eastAsia="en-US"/>
              </w:rPr>
            </w:pPr>
          </w:p>
          <w:p w:rsidR="00F54784" w:rsidRDefault="00F54784">
            <w:pPr>
              <w:spacing w:line="276" w:lineRule="auto"/>
              <w:rPr>
                <w:rFonts w:ascii="Calibri" w:hAnsi="Calibri"/>
                <w:sz w:val="20"/>
                <w:szCs w:val="20"/>
                <w:lang w:eastAsia="en-US"/>
              </w:rPr>
            </w:pPr>
          </w:p>
          <w:p w:rsidR="00F54784" w:rsidRDefault="00F54784">
            <w:pPr>
              <w:pStyle w:val="Lijstalinea"/>
              <w:spacing w:line="276" w:lineRule="auto"/>
              <w:ind w:hanging="360"/>
              <w:rPr>
                <w:b/>
                <w:bCs/>
                <w:sz w:val="20"/>
                <w:szCs w:val="20"/>
                <w:lang w:val="en-GB" w:eastAsia="en-US"/>
              </w:rPr>
            </w:pPr>
            <w:r>
              <w:rPr>
                <w:b/>
                <w:bCs/>
                <w:sz w:val="20"/>
                <w:szCs w:val="20"/>
                <w:lang w:val="en-GB" w:eastAsia="en-US"/>
              </w:rPr>
              <w:t>4.</w:t>
            </w:r>
            <w:r>
              <w:rPr>
                <w:rFonts w:ascii="Times New Roman" w:hAnsi="Times New Roman"/>
                <w:b/>
                <w:bCs/>
                <w:sz w:val="14"/>
                <w:szCs w:val="14"/>
                <w:lang w:val="en-GB" w:eastAsia="en-US"/>
              </w:rPr>
              <w:t xml:space="preserve">       </w:t>
            </w:r>
            <w:r>
              <w:rPr>
                <w:b/>
                <w:bCs/>
                <w:sz w:val="20"/>
                <w:szCs w:val="20"/>
                <w:lang w:val="en-GB" w:eastAsia="en-US"/>
              </w:rPr>
              <w:t>Council adopts anti-abuse rule in Parent-Subsidiary Directive</w:t>
            </w:r>
          </w:p>
          <w:p w:rsidR="00F54784" w:rsidRDefault="00F54784">
            <w:pPr>
              <w:spacing w:line="276" w:lineRule="auto"/>
              <w:rPr>
                <w:rFonts w:ascii="Calibri" w:hAnsi="Calibri"/>
                <w:sz w:val="20"/>
                <w:szCs w:val="20"/>
                <w:lang w:val="en-GB" w:eastAsia="en-US"/>
              </w:rPr>
            </w:pPr>
          </w:p>
          <w:p w:rsidR="00F54784" w:rsidRDefault="00F54784">
            <w:pPr>
              <w:spacing w:line="276" w:lineRule="auto"/>
              <w:ind w:left="567" w:right="141"/>
              <w:rPr>
                <w:rFonts w:ascii="Calibri" w:hAnsi="Calibri"/>
                <w:sz w:val="20"/>
                <w:szCs w:val="20"/>
                <w:lang w:val="en-GB" w:eastAsia="en-US"/>
              </w:rPr>
            </w:pPr>
            <w:r>
              <w:rPr>
                <w:rFonts w:ascii="Calibri" w:hAnsi="Calibri"/>
                <w:sz w:val="20"/>
                <w:szCs w:val="20"/>
                <w:lang w:val="en-GB" w:eastAsia="en-US"/>
              </w:rPr>
              <w:t xml:space="preserve">The EU </w:t>
            </w:r>
            <w:proofErr w:type="spellStart"/>
            <w:r>
              <w:rPr>
                <w:rFonts w:ascii="Calibri" w:hAnsi="Calibri"/>
                <w:sz w:val="20"/>
                <w:szCs w:val="20"/>
                <w:lang w:val="en-GB" w:eastAsia="en-US"/>
              </w:rPr>
              <w:t>Ecofin</w:t>
            </w:r>
            <w:proofErr w:type="spellEnd"/>
            <w:r>
              <w:rPr>
                <w:rFonts w:ascii="Calibri" w:hAnsi="Calibri"/>
                <w:sz w:val="20"/>
                <w:szCs w:val="20"/>
                <w:lang w:val="en-GB" w:eastAsia="en-US"/>
              </w:rPr>
              <w:t xml:space="preserve"> Council of 27 January 2015 has formally adopted the revision of the EU Parent-Subsidiary-Directive, providing for a minimum anti-abuse rule. Agreement on the amendment had already been reached at the previous </w:t>
            </w:r>
            <w:proofErr w:type="spellStart"/>
            <w:r>
              <w:rPr>
                <w:rFonts w:ascii="Calibri" w:hAnsi="Calibri"/>
                <w:sz w:val="20"/>
                <w:szCs w:val="20"/>
                <w:lang w:val="en-GB" w:eastAsia="en-US"/>
              </w:rPr>
              <w:t>Ecofin</w:t>
            </w:r>
            <w:proofErr w:type="spellEnd"/>
            <w:r>
              <w:rPr>
                <w:rFonts w:ascii="Calibri" w:hAnsi="Calibri"/>
                <w:sz w:val="20"/>
                <w:szCs w:val="20"/>
                <w:lang w:val="en-GB" w:eastAsia="en-US"/>
              </w:rPr>
              <w:t xml:space="preserve"> meeting of 9 December 2014. EU member states have to implement the new rule (as well as the subject-to-tax clause adopted in July 2014) until the end of 2015.</w:t>
            </w:r>
          </w:p>
          <w:p w:rsidR="00F54784" w:rsidRDefault="00F54784">
            <w:pPr>
              <w:pStyle w:val="Lijstalinea"/>
              <w:spacing w:line="276" w:lineRule="auto"/>
              <w:rPr>
                <w:sz w:val="20"/>
                <w:szCs w:val="20"/>
                <w:lang w:val="en-GB" w:eastAsia="en-US"/>
              </w:rPr>
            </w:pPr>
          </w:p>
          <w:p w:rsidR="00F54784" w:rsidRDefault="00F54784">
            <w:pPr>
              <w:pStyle w:val="Lijstalinea"/>
              <w:spacing w:line="276" w:lineRule="auto"/>
              <w:ind w:hanging="360"/>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Press release: </w:t>
            </w:r>
            <w:hyperlink r:id="rId12" w:history="1">
              <w:r>
                <w:rPr>
                  <w:rStyle w:val="Hyperlink"/>
                  <w:sz w:val="20"/>
                  <w:szCs w:val="20"/>
                  <w:lang w:val="en-GB" w:eastAsia="en-US"/>
                </w:rPr>
                <w:t>All EU languages</w:t>
              </w:r>
            </w:hyperlink>
          </w:p>
          <w:p w:rsidR="00F54784" w:rsidRDefault="00F54784">
            <w:pPr>
              <w:pStyle w:val="Lijstalinea"/>
              <w:spacing w:line="276" w:lineRule="auto"/>
              <w:ind w:hanging="360"/>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Text of the amendment: </w:t>
            </w:r>
            <w:hyperlink r:id="rId13" w:history="1">
              <w:r>
                <w:rPr>
                  <w:rStyle w:val="Hyperlink"/>
                  <w:sz w:val="20"/>
                  <w:szCs w:val="20"/>
                  <w:lang w:val="en-GB" w:eastAsia="en-US"/>
                </w:rPr>
                <w:t>EN</w:t>
              </w:r>
            </w:hyperlink>
          </w:p>
          <w:p w:rsidR="00F54784" w:rsidRDefault="00F54784">
            <w:pPr>
              <w:spacing w:line="276" w:lineRule="auto"/>
              <w:rPr>
                <w:rFonts w:ascii="Calibri" w:hAnsi="Calibri"/>
                <w:sz w:val="20"/>
                <w:szCs w:val="20"/>
                <w:lang w:val="en-GB" w:eastAsia="en-US"/>
              </w:rPr>
            </w:pPr>
          </w:p>
          <w:p w:rsidR="00F54784" w:rsidRDefault="00F54784">
            <w:pPr>
              <w:spacing w:line="276" w:lineRule="auto"/>
              <w:rPr>
                <w:rFonts w:ascii="Calibri" w:hAnsi="Calibri"/>
                <w:sz w:val="20"/>
                <w:szCs w:val="20"/>
                <w:lang w:val="en-GB" w:eastAsia="en-US"/>
              </w:rPr>
            </w:pPr>
          </w:p>
          <w:p w:rsidR="00F54784" w:rsidRDefault="00F54784">
            <w:pPr>
              <w:pStyle w:val="Lijstalinea"/>
              <w:spacing w:line="276" w:lineRule="auto"/>
              <w:ind w:hanging="360"/>
              <w:rPr>
                <w:b/>
                <w:bCs/>
                <w:sz w:val="20"/>
                <w:szCs w:val="20"/>
                <w:lang w:val="en-GB" w:eastAsia="en-US"/>
              </w:rPr>
            </w:pPr>
            <w:r>
              <w:rPr>
                <w:b/>
                <w:bCs/>
                <w:sz w:val="20"/>
                <w:szCs w:val="20"/>
                <w:lang w:val="en-GB" w:eastAsia="en-US"/>
              </w:rPr>
              <w:t>5.</w:t>
            </w:r>
            <w:r>
              <w:rPr>
                <w:rFonts w:ascii="Times New Roman" w:hAnsi="Times New Roman"/>
                <w:b/>
                <w:bCs/>
                <w:sz w:val="14"/>
                <w:szCs w:val="14"/>
                <w:lang w:val="en-GB" w:eastAsia="en-US"/>
              </w:rPr>
              <w:t xml:space="preserve">       </w:t>
            </w:r>
            <w:r>
              <w:rPr>
                <w:b/>
                <w:bCs/>
                <w:sz w:val="20"/>
                <w:szCs w:val="20"/>
                <w:lang w:val="en-GB" w:eastAsia="en-US"/>
              </w:rPr>
              <w:t>FTT to be introduced as of 2016</w:t>
            </w:r>
          </w:p>
          <w:p w:rsidR="00F54784" w:rsidRDefault="00F54784">
            <w:pPr>
              <w:spacing w:line="276" w:lineRule="auto"/>
              <w:rPr>
                <w:rFonts w:ascii="Calibri" w:hAnsi="Calibri"/>
                <w:sz w:val="20"/>
                <w:szCs w:val="20"/>
                <w:lang w:val="en-GB" w:eastAsia="en-US"/>
              </w:rPr>
            </w:pPr>
          </w:p>
          <w:p w:rsidR="00F54784" w:rsidRDefault="00F54784">
            <w:pPr>
              <w:pStyle w:val="Lijstalinea"/>
              <w:spacing w:line="276" w:lineRule="auto"/>
              <w:ind w:left="567" w:right="141"/>
              <w:rPr>
                <w:sz w:val="20"/>
                <w:szCs w:val="20"/>
                <w:lang w:val="en-GB" w:eastAsia="en-US"/>
              </w:rPr>
            </w:pPr>
            <w:r>
              <w:rPr>
                <w:sz w:val="20"/>
                <w:szCs w:val="20"/>
                <w:lang w:val="en-GB" w:eastAsia="en-US"/>
              </w:rPr>
              <w:t>On 27 January 2015, the finance ministers of ten of the eleven EU countries participating in the plan to introduce a financial transactions tax by way of enhanced cooperation have agreed that such tax should be levied as of 1 January 2016. The countries (Austria, Belgium, Estonia, France, Germany, Italy, Portugal, Slovakia, Slovenia and Spain) agree that the tax shall apply to shares and derivatives. Details of the new tax are still to be discussed but discussions have reassumed under Austrian coordination. The only country absent was Greece, due to the upcoming change of government following the elections of end-January.</w:t>
            </w:r>
          </w:p>
          <w:p w:rsidR="00F54784" w:rsidRDefault="00F54784">
            <w:pPr>
              <w:pStyle w:val="Lijstalinea"/>
              <w:spacing w:line="276" w:lineRule="auto"/>
              <w:rPr>
                <w:sz w:val="20"/>
                <w:szCs w:val="20"/>
                <w:lang w:val="en-GB" w:eastAsia="en-US"/>
              </w:rPr>
            </w:pPr>
          </w:p>
          <w:p w:rsidR="00F54784" w:rsidRDefault="00F54784">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F54784" w:rsidRDefault="00F54784">
            <w:pPr>
              <w:spacing w:line="276" w:lineRule="auto"/>
              <w:jc w:val="both"/>
              <w:rPr>
                <w:rFonts w:ascii="Calibri" w:hAnsi="Calibri"/>
                <w:sz w:val="20"/>
                <w:szCs w:val="20"/>
                <w:lang w:val="en-GB" w:eastAsia="en-US"/>
              </w:rPr>
            </w:pPr>
          </w:p>
          <w:p w:rsidR="00F54784" w:rsidRDefault="00F54784">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F54784" w:rsidRDefault="00F54784">
            <w:pPr>
              <w:pStyle w:val="Lijstalinea"/>
              <w:spacing w:line="276" w:lineRule="auto"/>
              <w:ind w:left="126"/>
              <w:jc w:val="center"/>
              <w:rPr>
                <w:i/>
                <w:iCs/>
                <w:sz w:val="20"/>
                <w:szCs w:val="20"/>
                <w:lang w:val="en-GB" w:eastAsia="en-US"/>
              </w:rPr>
            </w:pPr>
          </w:p>
          <w:p w:rsidR="00F54784" w:rsidRDefault="00F54784">
            <w:pPr>
              <w:pStyle w:val="Lijstalinea"/>
              <w:spacing w:line="276" w:lineRule="auto"/>
              <w:ind w:left="126"/>
              <w:jc w:val="center"/>
              <w:rPr>
                <w:rStyle w:val="Hyperlink"/>
                <w:lang w:val="en-US"/>
              </w:rPr>
            </w:pPr>
            <w:hyperlink r:id="rId14" w:history="1">
              <w:r>
                <w:rPr>
                  <w:rStyle w:val="Hyperlink"/>
                  <w:i/>
                  <w:iCs/>
                  <w:sz w:val="20"/>
                  <w:szCs w:val="20"/>
                  <w:lang w:val="en-GB" w:eastAsia="en-US"/>
                </w:rPr>
                <w:t>www.cfe-eutax.org</w:t>
              </w:r>
            </w:hyperlink>
          </w:p>
          <w:p w:rsidR="00F54784" w:rsidRDefault="00F54784">
            <w:pPr>
              <w:pStyle w:val="Lijstalinea"/>
              <w:spacing w:line="276" w:lineRule="auto"/>
              <w:ind w:left="126"/>
              <w:jc w:val="center"/>
              <w:rPr>
                <w:rStyle w:val="Hyperlink"/>
                <w:i/>
                <w:iCs/>
                <w:sz w:val="20"/>
                <w:szCs w:val="20"/>
                <w:lang w:val="en-GB" w:eastAsia="en-US"/>
              </w:rPr>
            </w:pPr>
          </w:p>
          <w:p w:rsidR="00F54784" w:rsidRDefault="00F54784">
            <w:pPr>
              <w:pStyle w:val="Lijstalinea"/>
              <w:spacing w:line="276" w:lineRule="auto"/>
              <w:ind w:left="126"/>
              <w:jc w:val="center"/>
              <w:rPr>
                <w:lang w:val="en-US"/>
              </w:rPr>
            </w:pPr>
            <w:r>
              <w:rPr>
                <w:i/>
                <w:iCs/>
                <w:sz w:val="20"/>
                <w:szCs w:val="20"/>
                <w:lang w:val="en-US" w:eastAsia="en-US"/>
              </w:rPr>
              <w:t xml:space="preserve">Follow us on </w:t>
            </w:r>
            <w:hyperlink r:id="rId15"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14:anchorId="18C42C85" wp14:editId="38ECA656">
                  <wp:extent cx="198120" cy="190500"/>
                  <wp:effectExtent l="0" t="0" r="0"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AA5C.15EA18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Pr>
                <w:i/>
                <w:iCs/>
                <w:sz w:val="20"/>
                <w:szCs w:val="20"/>
                <w:lang w:eastAsia="en-US"/>
              </w:rPr>
              <w:t> </w:t>
            </w:r>
          </w:p>
        </w:tc>
      </w:tr>
      <w:tr w:rsidR="00F54784" w:rsidTr="00F54784">
        <w:trPr>
          <w:trHeight w:val="11"/>
          <w:tblCellSpacing w:w="0" w:type="dxa"/>
        </w:trPr>
        <w:tc>
          <w:tcPr>
            <w:tcW w:w="10172" w:type="dxa"/>
            <w:tcBorders>
              <w:top w:val="nil"/>
              <w:left w:val="nil"/>
              <w:bottom w:val="nil"/>
              <w:right w:val="nil"/>
            </w:tcBorders>
            <w:tcMar>
              <w:top w:w="375" w:type="dxa"/>
              <w:left w:w="300" w:type="dxa"/>
              <w:bottom w:w="300" w:type="dxa"/>
              <w:right w:w="300" w:type="dxa"/>
            </w:tcMar>
            <w:vAlign w:val="center"/>
          </w:tcPr>
          <w:p w:rsidR="00F54784" w:rsidRDefault="00F54784">
            <w:pPr>
              <w:spacing w:line="276" w:lineRule="auto"/>
              <w:jc w:val="both"/>
              <w:rPr>
                <w:rFonts w:ascii="Calibri" w:hAnsi="Calibri"/>
                <w:sz w:val="2"/>
                <w:szCs w:val="20"/>
                <w:lang w:val="en-US" w:eastAsia="en-US"/>
              </w:rPr>
            </w:pPr>
          </w:p>
        </w:tc>
      </w:tr>
    </w:tbl>
    <w:p w:rsidR="00F54784" w:rsidRDefault="00F54784" w:rsidP="00F54784">
      <w:pPr>
        <w:rPr>
          <w:lang w:val="en-US"/>
        </w:rPr>
      </w:pPr>
    </w:p>
    <w:p w:rsidR="00667086" w:rsidRDefault="00667086"/>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84"/>
    <w:rsid w:val="00667086"/>
    <w:rsid w:val="00F54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478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54784"/>
    <w:rPr>
      <w:color w:val="0000FF"/>
      <w:u w:val="single"/>
    </w:rPr>
  </w:style>
  <w:style w:type="paragraph" w:styleId="Lijstalinea">
    <w:name w:val="List Paragraph"/>
    <w:basedOn w:val="Standaard"/>
    <w:uiPriority w:val="34"/>
    <w:qFormat/>
    <w:rsid w:val="00F54784"/>
    <w:pPr>
      <w:ind w:left="720"/>
    </w:pPr>
    <w:rPr>
      <w:rFonts w:ascii="Calibri" w:hAnsi="Calibri"/>
      <w:sz w:val="22"/>
      <w:szCs w:val="22"/>
    </w:rPr>
  </w:style>
  <w:style w:type="paragraph" w:styleId="Ballontekst">
    <w:name w:val="Balloon Text"/>
    <w:basedOn w:val="Standaard"/>
    <w:link w:val="BallontekstChar"/>
    <w:uiPriority w:val="99"/>
    <w:semiHidden/>
    <w:unhideWhenUsed/>
    <w:rsid w:val="00F54784"/>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784"/>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478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54784"/>
    <w:rPr>
      <w:color w:val="0000FF"/>
      <w:u w:val="single"/>
    </w:rPr>
  </w:style>
  <w:style w:type="paragraph" w:styleId="Lijstalinea">
    <w:name w:val="List Paragraph"/>
    <w:basedOn w:val="Standaard"/>
    <w:uiPriority w:val="34"/>
    <w:qFormat/>
    <w:rsid w:val="00F54784"/>
    <w:pPr>
      <w:ind w:left="720"/>
    </w:pPr>
    <w:rPr>
      <w:rFonts w:ascii="Calibri" w:hAnsi="Calibri"/>
      <w:sz w:val="22"/>
      <w:szCs w:val="22"/>
    </w:rPr>
  </w:style>
  <w:style w:type="paragraph" w:styleId="Ballontekst">
    <w:name w:val="Balloon Text"/>
    <w:basedOn w:val="Standaard"/>
    <w:link w:val="BallontekstChar"/>
    <w:uiPriority w:val="99"/>
    <w:semiHidden/>
    <w:unhideWhenUsed/>
    <w:rsid w:val="00F54784"/>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784"/>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fiche.jsf;jsessionid=9ea7d2dc30ddc7366d5b8d6e4b629490abf66890870a.e34KaxiLc3qMb40Rch0SaxuPaNf0?id=C%3B172%3B13%3BRD%3B1%3BP%3B1%3BC2013%2F0172%2FP&amp;pro=&amp;lgrec=en&amp;nat=or&amp;oqp=&amp;dates=&amp;lg=&amp;language=en&amp;jur=C%2CT%2CF&amp;cit=none%252CC%252CCJ%252CR%252C2008E%252C%252C%252C%252C%252C%252C%252C%252C%252C%252Ctrue%252Cfalse%252Cfalse&amp;num=C-172%252F13&amp;td=%3BALL&amp;pcs=Oor&amp;avg=&amp;mat=or&amp;jge=&amp;for=&amp;cid=186026" TargetMode="External"/><Relationship Id="rId13" Type="http://schemas.openxmlformats.org/officeDocument/2006/relationships/hyperlink" Target="http://register.consilium.europa.eu/doc/srv?l=EN&amp;f=ST%2016633%202014%20IN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fe-eutax.org/node/4089" TargetMode="External"/><Relationship Id="rId12" Type="http://schemas.openxmlformats.org/officeDocument/2006/relationships/hyperlink" Target="http://www.consilium.europa.eu/en/press/press-releases/2015/01/council-adopts-anti-abuse-clause/" TargetMode="External"/><Relationship Id="rId17" Type="http://schemas.openxmlformats.org/officeDocument/2006/relationships/image" Target="cid:image004.png@01CFAA5C.15EA1810" TargetMode="External"/><Relationship Id="rId2" Type="http://schemas.microsoft.com/office/2007/relationships/stylesWithEffects" Target="stylesWithEffects.xml"/><Relationship Id="rId16" Type="http://schemas.openxmlformats.org/officeDocument/2006/relationships/image" Target="media/image2.png"/><Relationship Id="rId1" Type="http://schemas.openxmlformats.org/officeDocument/2006/relationships/styles" Target="styles.xml"/><Relationship Id="rId6" Type="http://schemas.openxmlformats.org/officeDocument/2006/relationships/image" Target="cid:image002.jpg@01D03FCB.3ED2FCB0" TargetMode="External"/><Relationship Id="rId11" Type="http://schemas.openxmlformats.org/officeDocument/2006/relationships/hyperlink" Target="http://ec.europa.eu/taxation_customs/resources/documents/taxation/company_tax/transfer_pricing/forum/call_applications_2015_en.pdf" TargetMode="External"/><Relationship Id="rId5" Type="http://schemas.openxmlformats.org/officeDocument/2006/relationships/image" Target="media/image1.jpeg"/><Relationship Id="rId15" Type="http://schemas.openxmlformats.org/officeDocument/2006/relationships/hyperlink" Target="http://www.linkedin.com/company/confederation-fiscal-europeene?trk=company_name" TargetMode="External"/><Relationship Id="rId10" Type="http://schemas.openxmlformats.org/officeDocument/2006/relationships/hyperlink" Target="http://ec.europa.eu/taxation_customs/resources/documents/taxation/company_tax/transfer_pricing/forum/decision_c%282015%29247_x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uria.europa.eu/jcms/upload/docs/application/pdf/2015-02/cp150013en.pdf" TargetMode="External"/><Relationship Id="rId14" Type="http://schemas.openxmlformats.org/officeDocument/2006/relationships/hyperlink" Target="http://www.cfe-eutax.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6F6154FE</Template>
  <TotalTime>5</TotalTime>
  <Pages>2</Pages>
  <Words>852</Words>
  <Characters>4691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2015-02-05T10:20:00Z</dcterms:created>
  <dcterms:modified xsi:type="dcterms:W3CDTF">2015-02-05T10:25:00Z</dcterms:modified>
</cp:coreProperties>
</file>