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CellSpacing w:w="0" w:type="dxa"/>
        <w:tblInd w:w="-30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A42FB0" w:rsidTr="00A42FB0">
        <w:trPr>
          <w:trHeight w:val="11988"/>
          <w:tblCellSpacing w:w="0" w:type="dxa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82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  <w:gridCol w:w="6"/>
            </w:tblGrid>
            <w:tr w:rsidR="00A42FB0">
              <w:trPr>
                <w:tblCellSpacing w:w="0" w:type="dxa"/>
              </w:trPr>
              <w:tc>
                <w:tcPr>
                  <w:tcW w:w="8205" w:type="dxa"/>
                  <w:vAlign w:val="center"/>
                  <w:hideMark/>
                </w:tcPr>
                <w:p w:rsidR="00A42FB0" w:rsidRDefault="00A42FB0">
                  <w:pPr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3E36AEB4" wp14:editId="52D8F719">
                        <wp:extent cx="5762625" cy="666750"/>
                        <wp:effectExtent l="0" t="0" r="9525" b="0"/>
                        <wp:docPr id="2" name="Afbeelding 2" descr="cid:image002.jpg@01D03961.3C8822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2.jpg@01D03961.3C8822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A42FB0" w:rsidRDefault="00A42FB0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  <w:p w:rsidR="00A42FB0" w:rsidRDefault="00A42FB0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42FB0" w:rsidRDefault="00A42FB0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Fiscal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Committee</w:t>
            </w:r>
            <w:proofErr w:type="spellEnd"/>
          </w:p>
          <w:p w:rsidR="00A42FB0" w:rsidRDefault="00A42FB0">
            <w:pPr>
              <w:shd w:val="clear" w:color="auto" w:fill="FEFEFE"/>
              <w:spacing w:line="276" w:lineRule="auto"/>
              <w:ind w:right="2925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A42FB0" w:rsidRDefault="00A42FB0">
            <w:pPr>
              <w:shd w:val="clear" w:color="auto" w:fill="FEFEFE"/>
              <w:spacing w:line="276" w:lineRule="auto"/>
              <w:ind w:left="7371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>26 January 2015</w:t>
            </w:r>
          </w:p>
          <w:p w:rsidR="00A42FB0" w:rsidRDefault="00A42FB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A42FB0" w:rsidRDefault="00A42FB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left="709" w:hanging="36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CJEU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rules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definition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of “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immovable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property” in VAT</w:t>
            </w:r>
          </w:p>
          <w:p w:rsidR="00A42FB0" w:rsidRDefault="00A42FB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On 22 </w:t>
            </w:r>
            <w:proofErr w:type="spellStart"/>
            <w:r>
              <w:rPr>
                <w:sz w:val="20"/>
                <w:szCs w:val="20"/>
                <w:lang w:eastAsia="en-US"/>
              </w:rPr>
              <w:t>January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2015, the EU Court of </w:t>
            </w:r>
            <w:proofErr w:type="spellStart"/>
            <w:r>
              <w:rPr>
                <w:sz w:val="20"/>
                <w:szCs w:val="20"/>
                <w:lang w:eastAsia="en-US"/>
              </w:rPr>
              <w:t>Justice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decided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en-US"/>
              </w:rPr>
              <w:t>preliminary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ruling case C-55/14,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Stade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Luc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Varenne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upon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reference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Belgian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court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making </w:t>
            </w:r>
            <w:proofErr w:type="spellStart"/>
            <w:r>
              <w:rPr>
                <w:sz w:val="20"/>
                <w:szCs w:val="20"/>
                <w:lang w:eastAsia="en-US"/>
              </w:rPr>
              <w:t>available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consideration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a </w:t>
            </w:r>
            <w:proofErr w:type="spellStart"/>
            <w:r>
              <w:rPr>
                <w:sz w:val="20"/>
                <w:szCs w:val="20"/>
                <w:lang w:eastAsia="en-US"/>
              </w:rPr>
              <w:t>football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stadium </w:t>
            </w:r>
            <w:proofErr w:type="spellStart"/>
            <w:r>
              <w:rPr>
                <w:sz w:val="20"/>
                <w:szCs w:val="20"/>
                <w:lang w:eastAsia="en-US"/>
              </w:rPr>
              <w:t>under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contract </w:t>
            </w:r>
            <w:proofErr w:type="spellStart"/>
            <w:r>
              <w:rPr>
                <w:sz w:val="20"/>
                <w:szCs w:val="20"/>
                <w:lang w:eastAsia="en-US"/>
              </w:rPr>
              <w:t>reserving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certain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rights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prerogatives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stadium </w:t>
            </w:r>
            <w:proofErr w:type="spellStart"/>
            <w:r>
              <w:rPr>
                <w:sz w:val="20"/>
                <w:szCs w:val="20"/>
                <w:lang w:eastAsia="en-US"/>
              </w:rPr>
              <w:t>owner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providing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supply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owner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of </w:t>
            </w:r>
            <w:proofErr w:type="spellStart"/>
            <w:r>
              <w:rPr>
                <w:sz w:val="20"/>
                <w:szCs w:val="20"/>
                <w:lang w:eastAsia="en-US"/>
              </w:rPr>
              <w:t>various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services, </w:t>
            </w:r>
            <w:proofErr w:type="spellStart"/>
            <w:r>
              <w:rPr>
                <w:sz w:val="20"/>
                <w:szCs w:val="20"/>
                <w:lang w:eastAsia="en-US"/>
              </w:rPr>
              <w:t>including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services of maintenance, cleaning, </w:t>
            </w:r>
            <w:proofErr w:type="spellStart"/>
            <w:r>
              <w:rPr>
                <w:sz w:val="20"/>
                <w:szCs w:val="20"/>
                <w:lang w:eastAsia="en-US"/>
              </w:rPr>
              <w:t>repair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upgrading, </w:t>
            </w:r>
            <w:proofErr w:type="spellStart"/>
            <w:r>
              <w:rPr>
                <w:sz w:val="20"/>
                <w:szCs w:val="20"/>
                <w:lang w:eastAsia="en-US"/>
              </w:rPr>
              <w:t>representing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80% of the charge </w:t>
            </w:r>
            <w:proofErr w:type="spellStart"/>
            <w:r>
              <w:rPr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eastAsia="en-US"/>
              </w:rPr>
              <w:t>agreed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does </w:t>
            </w:r>
            <w:proofErr w:type="spellStart"/>
            <w:r>
              <w:rPr>
                <w:sz w:val="20"/>
                <w:szCs w:val="20"/>
                <w:lang w:eastAsia="en-US"/>
              </w:rPr>
              <w:t>not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constitute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as a </w:t>
            </w:r>
            <w:proofErr w:type="spellStart"/>
            <w:r>
              <w:rPr>
                <w:sz w:val="20"/>
                <w:szCs w:val="20"/>
                <w:lang w:eastAsia="en-US"/>
              </w:rPr>
              <w:t>general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rule</w:t>
            </w:r>
            <w:proofErr w:type="spellEnd"/>
            <w:r>
              <w:rPr>
                <w:sz w:val="20"/>
                <w:szCs w:val="20"/>
                <w:lang w:eastAsia="en-US"/>
              </w:rPr>
              <w:t>, a ‘</w:t>
            </w:r>
            <w:proofErr w:type="spellStart"/>
            <w:r>
              <w:rPr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immovable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property’ </w:t>
            </w:r>
            <w:proofErr w:type="spellStart"/>
            <w:r>
              <w:rPr>
                <w:sz w:val="20"/>
                <w:szCs w:val="20"/>
                <w:lang w:eastAsia="en-US"/>
              </w:rPr>
              <w:t>within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meaning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provision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A42FB0" w:rsidRDefault="00A42FB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val="fr-BE" w:eastAsia="en-US"/>
              </w:rPr>
            </w:pPr>
            <w:r>
              <w:rPr>
                <w:sz w:val="20"/>
                <w:szCs w:val="20"/>
                <w:lang w:val="fr-BE"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val="fr-BE"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val="fr-BE"/>
              </w:rPr>
              <w:t>Judgment</w:t>
            </w:r>
            <w:proofErr w:type="spellEnd"/>
            <w:r>
              <w:rPr>
                <w:sz w:val="20"/>
                <w:szCs w:val="20"/>
                <w:lang w:val="fr-BE"/>
              </w:rPr>
              <w:t xml:space="preserve">: </w:t>
            </w:r>
            <w:hyperlink r:id="rId7" w:history="1">
              <w:r>
                <w:rPr>
                  <w:rStyle w:val="Hyperlink"/>
                  <w:sz w:val="20"/>
                  <w:szCs w:val="20"/>
                  <w:lang w:val="fr-BE"/>
                </w:rPr>
                <w:t>EN</w:t>
              </w:r>
            </w:hyperlink>
            <w:r>
              <w:rPr>
                <w:sz w:val="20"/>
                <w:szCs w:val="20"/>
                <w:lang w:val="fr-BE"/>
              </w:rPr>
              <w:t xml:space="preserve"> (All EU </w:t>
            </w:r>
            <w:proofErr w:type="spellStart"/>
            <w:r>
              <w:rPr>
                <w:sz w:val="20"/>
                <w:szCs w:val="20"/>
                <w:lang w:val="fr-BE"/>
              </w:rPr>
              <w:t>languages</w:t>
            </w:r>
            <w:proofErr w:type="spellEnd"/>
            <w:r>
              <w:rPr>
                <w:sz w:val="20"/>
                <w:szCs w:val="20"/>
                <w:lang w:val="fr-BE"/>
              </w:rPr>
              <w:t>)</w:t>
            </w:r>
          </w:p>
          <w:p w:rsidR="00A42FB0" w:rsidRDefault="00A42FB0">
            <w:pPr>
              <w:pStyle w:val="Lijstalinea"/>
              <w:spacing w:line="276" w:lineRule="auto"/>
              <w:rPr>
                <w:sz w:val="20"/>
                <w:szCs w:val="20"/>
                <w:lang w:val="fr-BE" w:eastAsia="en-US"/>
              </w:rPr>
            </w:pPr>
          </w:p>
          <w:p w:rsidR="00A42FB0" w:rsidRDefault="00A42FB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fr-BE"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OECD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publishes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comments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received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on tax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treaty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abuse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PE status,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dispute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resolution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low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value-adding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services</w:t>
            </w:r>
          </w:p>
          <w:p w:rsidR="00A42FB0" w:rsidRDefault="00A42FB0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42FB0" w:rsidRDefault="00A42FB0">
            <w:pPr>
              <w:spacing w:line="276" w:lineRule="auto"/>
              <w:ind w:left="426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The OECD has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recently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published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comments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received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stakeholders on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four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discussion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drafts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released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in late 2014. CFE has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commented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three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of these,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together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with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AOTCA,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association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representing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tax professionals in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Asia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Australia.</w:t>
            </w:r>
          </w:p>
          <w:p w:rsidR="00A42FB0" w:rsidRDefault="00A42FB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  <w:lang w:eastAsia="en-US"/>
              </w:rPr>
              <w:t xml:space="preserve">Tax </w:t>
            </w:r>
            <w:proofErr w:type="spellStart"/>
            <w:r>
              <w:rPr>
                <w:sz w:val="20"/>
                <w:szCs w:val="20"/>
                <w:lang w:eastAsia="en-US"/>
              </w:rPr>
              <w:t>treaty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abuse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(BEPS Action 6): </w:t>
            </w:r>
            <w:hyperlink r:id="rId8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stakeholder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comments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  </w:t>
              </w:r>
            </w:hyperlink>
            <w:r>
              <w:rPr>
                <w:sz w:val="20"/>
                <w:szCs w:val="20"/>
                <w:lang w:eastAsia="en-US"/>
              </w:rPr>
              <w:t xml:space="preserve"> /   </w:t>
            </w:r>
            <w:hyperlink r:id="rId9" w:history="1"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CFE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and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AOTCA Opinion Statement</w:t>
              </w:r>
            </w:hyperlink>
          </w:p>
          <w:p w:rsidR="00A42FB0" w:rsidRDefault="00A42FB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proofErr w:type="spellStart"/>
            <w:r>
              <w:rPr>
                <w:sz w:val="20"/>
                <w:szCs w:val="20"/>
                <w:lang w:eastAsia="en-US"/>
              </w:rPr>
              <w:t>Artificial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avoidance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Permanent Establishment status (BEPS Action 7): </w:t>
            </w:r>
            <w:hyperlink r:id="rId10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stakeholder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comments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  </w:t>
              </w:r>
            </w:hyperlink>
            <w:r>
              <w:rPr>
                <w:sz w:val="20"/>
                <w:szCs w:val="20"/>
                <w:lang w:eastAsia="en-US"/>
              </w:rPr>
              <w:t xml:space="preserve"> /   </w:t>
            </w:r>
            <w:hyperlink r:id="rId11" w:history="1"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CFE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and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AOTCA Opinion Statement</w:t>
              </w:r>
            </w:hyperlink>
          </w:p>
          <w:p w:rsidR="00A42FB0" w:rsidRDefault="00A42FB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  <w:lang w:eastAsia="en-US"/>
              </w:rPr>
              <w:t xml:space="preserve">Making </w:t>
            </w:r>
            <w:proofErr w:type="spellStart"/>
            <w:r>
              <w:rPr>
                <w:sz w:val="20"/>
                <w:szCs w:val="20"/>
                <w:lang w:eastAsia="en-US"/>
              </w:rPr>
              <w:t>dispute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resolution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mechanisms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more </w:t>
            </w:r>
            <w:proofErr w:type="spellStart"/>
            <w:r>
              <w:rPr>
                <w:sz w:val="20"/>
                <w:szCs w:val="20"/>
                <w:lang w:eastAsia="en-US"/>
              </w:rPr>
              <w:t>effective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(BEPS Action 14): </w:t>
            </w:r>
            <w:hyperlink r:id="rId12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stakeholder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comments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  </w:t>
              </w:r>
            </w:hyperlink>
            <w:r>
              <w:rPr>
                <w:sz w:val="20"/>
                <w:szCs w:val="20"/>
                <w:lang w:eastAsia="en-US"/>
              </w:rPr>
              <w:t xml:space="preserve"> /   </w:t>
            </w:r>
            <w:hyperlink r:id="rId13" w:history="1"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CFE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and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AOTCA Opinion Statement</w:t>
              </w:r>
            </w:hyperlink>
          </w:p>
          <w:p w:rsidR="00A42FB0" w:rsidRDefault="00A42FB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r>
              <w:rPr>
                <w:sz w:val="20"/>
                <w:szCs w:val="20"/>
                <w:lang w:eastAsia="en-US"/>
              </w:rPr>
              <w:t xml:space="preserve">Low </w:t>
            </w:r>
            <w:proofErr w:type="spellStart"/>
            <w:r>
              <w:rPr>
                <w:sz w:val="20"/>
                <w:szCs w:val="20"/>
                <w:lang w:eastAsia="en-US"/>
              </w:rPr>
              <w:t>value-adding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intra-</w:t>
            </w:r>
            <w:proofErr w:type="spellStart"/>
            <w:r>
              <w:rPr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services (part of BEPS Action 10): </w:t>
            </w:r>
            <w:hyperlink r:id="rId14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All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stakeholder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comments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</w:t>
              </w:r>
            </w:hyperlink>
            <w:r>
              <w:rPr>
                <w:sz w:val="20"/>
                <w:szCs w:val="20"/>
                <w:lang w:eastAsia="en-US"/>
              </w:rPr>
              <w:t> </w:t>
            </w:r>
          </w:p>
          <w:p w:rsidR="00A42FB0" w:rsidRDefault="00A42FB0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42FB0" w:rsidRDefault="00A42FB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*****</w:t>
            </w:r>
          </w:p>
          <w:p w:rsidR="00A42FB0" w:rsidRDefault="00A42FB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Reibel</w:t>
            </w:r>
            <w:proofErr w:type="spellEnd"/>
          </w:p>
          <w:p w:rsidR="00A42FB0" w:rsidRDefault="00A42FB0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:rsidR="00A42FB0" w:rsidRDefault="00A42FB0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lang w:eastAsia="fr-BE"/>
              </w:rPr>
            </w:pPr>
            <w:hyperlink r:id="rId15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A42FB0" w:rsidRDefault="00A42FB0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i/>
                <w:iCs/>
                <w:sz w:val="20"/>
                <w:szCs w:val="20"/>
              </w:rPr>
            </w:pPr>
          </w:p>
          <w:p w:rsidR="00A42FB0" w:rsidRDefault="00A42FB0">
            <w:pPr>
              <w:pStyle w:val="Lijstalinea"/>
              <w:spacing w:line="276" w:lineRule="auto"/>
              <w:ind w:left="126"/>
              <w:jc w:val="center"/>
              <w:rPr>
                <w:lang w:val="en-US"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Follow us on </w:t>
            </w:r>
            <w:hyperlink r:id="rId16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88C4D66" wp14:editId="698241A8">
                  <wp:extent cx="200025" cy="190500"/>
                  <wp:effectExtent l="0" t="0" r="9525" b="0"/>
                  <wp:docPr id="1" name="Afbeelding 1" descr="cid:image004.png@01CFAA5C.15EA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CFAA5C.15EA1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A42FB0" w:rsidTr="00A42FB0">
        <w:trPr>
          <w:tblCellSpacing w:w="0" w:type="dxa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A42FB0" w:rsidRDefault="00A42FB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 w:eastAsia="fr-BE"/>
              </w:rPr>
            </w:pPr>
          </w:p>
        </w:tc>
      </w:tr>
    </w:tbl>
    <w:p w:rsidR="00A42FB0" w:rsidRDefault="00A42FB0" w:rsidP="00A42FB0">
      <w:pPr>
        <w:rPr>
          <w:lang w:val="en-US"/>
        </w:rPr>
      </w:pPr>
    </w:p>
    <w:p w:rsidR="00667086" w:rsidRDefault="00667086"/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0"/>
    <w:rsid w:val="00667086"/>
    <w:rsid w:val="00A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FB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42FB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42FB0"/>
    <w:pPr>
      <w:ind w:left="720"/>
    </w:pPr>
    <w:rPr>
      <w:rFonts w:ascii="Calibr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2F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2FB0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FB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42FB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42FB0"/>
    <w:pPr>
      <w:ind w:left="720"/>
    </w:pPr>
    <w:rPr>
      <w:rFonts w:ascii="Calibr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2F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2FB0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ctp/treaties/public-comments-action-6-follow-up-prevent-treaty-abuse.pdf" TargetMode="External"/><Relationship Id="rId13" Type="http://schemas.openxmlformats.org/officeDocument/2006/relationships/hyperlink" Target="http://www.cfe-eutax.org/node/4095" TargetMode="External"/><Relationship Id="rId18" Type="http://schemas.openxmlformats.org/officeDocument/2006/relationships/image" Target="cid:image004.png@01CFAA5C.15EA18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ria.europa.eu/juris/document/document.jsf?text=&amp;docid=161607&amp;pageIndex=0&amp;doclang=EN&amp;mode=lst&amp;dir=&amp;occ=first&amp;part=1&amp;cid=46716" TargetMode="External"/><Relationship Id="rId12" Type="http://schemas.openxmlformats.org/officeDocument/2006/relationships/hyperlink" Target="http://www.oecd.org/tax/treaties/public-comments-action-7-prevent-artificial-avoidance-pe-status.pdf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www.linkedin.com/company/confederation-fiscal-europeene?trk=company_nam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2.jpg@01D03961.3C882270" TargetMode="External"/><Relationship Id="rId11" Type="http://schemas.openxmlformats.org/officeDocument/2006/relationships/hyperlink" Target="http://www.cfe-eutax.org/node/40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fe-eutax.org" TargetMode="External"/><Relationship Id="rId10" Type="http://schemas.openxmlformats.org/officeDocument/2006/relationships/hyperlink" Target="http://www.oecd.org/tax/treaties/public-comments-action-7-prevent-artificial-avoidance-pe-statu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fe-eutax.org/node/4094" TargetMode="External"/><Relationship Id="rId14" Type="http://schemas.openxmlformats.org/officeDocument/2006/relationships/hyperlink" Target="http://www.oecd.org/ctp/transfer-pricing/public-comments-action-10-low-value-adding-intra-group-services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5CDD7146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2015-01-26T14:10:00Z</dcterms:created>
  <dcterms:modified xsi:type="dcterms:W3CDTF">2015-01-26T14:11:00Z</dcterms:modified>
</cp:coreProperties>
</file>