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7E242C" w:rsidTr="007E242C">
        <w:trPr>
          <w:tblCellSpacing w:w="0" w:type="dxa"/>
        </w:trPr>
        <w:tc>
          <w:tcPr>
            <w:tcW w:w="9672"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9066"/>
              <w:gridCol w:w="6"/>
            </w:tblGrid>
            <w:tr w:rsidR="007E242C">
              <w:trPr>
                <w:tblCellSpacing w:w="0" w:type="dxa"/>
              </w:trPr>
              <w:tc>
                <w:tcPr>
                  <w:tcW w:w="8205" w:type="dxa"/>
                  <w:vAlign w:val="center"/>
                  <w:hideMark/>
                </w:tcPr>
                <w:p w:rsidR="007E242C" w:rsidRDefault="007E242C">
                  <w:pPr>
                    <w:spacing w:line="276" w:lineRule="auto"/>
                    <w:jc w:val="both"/>
                    <w:rPr>
                      <w:rFonts w:ascii="Calibri" w:hAnsi="Calibri"/>
                      <w:sz w:val="20"/>
                      <w:szCs w:val="20"/>
                      <w:lang w:val="en-GB" w:eastAsia="en-US"/>
                    </w:rPr>
                  </w:pPr>
                  <w:bookmarkStart w:id="0" w:name="_GoBack"/>
                  <w:bookmarkEnd w:id="0"/>
                  <w:r>
                    <w:rPr>
                      <w:rFonts w:ascii="Calibri" w:hAnsi="Calibri"/>
                      <w:noProof/>
                      <w:sz w:val="20"/>
                      <w:szCs w:val="20"/>
                    </w:rPr>
                    <w:drawing>
                      <wp:inline distT="0" distB="0" distL="0" distR="0" wp14:anchorId="217AF7EA" wp14:editId="05858D6D">
                        <wp:extent cx="5762625" cy="666750"/>
                        <wp:effectExtent l="0" t="0" r="9525" b="0"/>
                        <wp:docPr id="2" name="Afbeelding 2" descr="cid:image002.jpg@01D033F5.B144E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33F5.B144E1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7E242C" w:rsidRDefault="007E242C">
                  <w:pPr>
                    <w:spacing w:line="276" w:lineRule="auto"/>
                    <w:jc w:val="both"/>
                    <w:rPr>
                      <w:rFonts w:ascii="Calibri" w:hAnsi="Calibri"/>
                      <w:color w:val="ACABAB"/>
                      <w:sz w:val="20"/>
                      <w:szCs w:val="20"/>
                      <w:lang w:val="en-GB" w:eastAsia="en-US"/>
                    </w:rPr>
                  </w:pPr>
                </w:p>
                <w:p w:rsidR="007E242C" w:rsidRDefault="007E242C">
                  <w:pPr>
                    <w:spacing w:line="276" w:lineRule="auto"/>
                    <w:jc w:val="both"/>
                    <w:rPr>
                      <w:rFonts w:ascii="Calibri" w:hAnsi="Calibri"/>
                      <w:color w:val="ACABAB"/>
                      <w:sz w:val="20"/>
                      <w:szCs w:val="20"/>
                      <w:lang w:val="en-GB" w:eastAsia="en-US"/>
                    </w:rPr>
                  </w:pPr>
                </w:p>
              </w:tc>
            </w:tr>
          </w:tbl>
          <w:p w:rsidR="007E242C" w:rsidRDefault="007E242C">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7E242C" w:rsidRDefault="007E242C">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7E242C" w:rsidRDefault="007E242C">
            <w:pPr>
              <w:shd w:val="clear" w:color="auto" w:fill="FEFEFE"/>
              <w:spacing w:line="276" w:lineRule="auto"/>
              <w:ind w:left="7371"/>
              <w:jc w:val="both"/>
              <w:rPr>
                <w:rFonts w:ascii="Calibri" w:hAnsi="Calibri"/>
                <w:b/>
                <w:bCs/>
                <w:color w:val="000000"/>
                <w:sz w:val="20"/>
                <w:szCs w:val="20"/>
                <w:lang w:val="en" w:eastAsia="en-US"/>
              </w:rPr>
            </w:pPr>
            <w:r>
              <w:rPr>
                <w:rFonts w:ascii="Calibri" w:hAnsi="Calibri"/>
                <w:b/>
                <w:bCs/>
                <w:color w:val="000000"/>
                <w:sz w:val="20"/>
                <w:szCs w:val="20"/>
                <w:lang w:val="en" w:eastAsia="en-US"/>
              </w:rPr>
              <w:t>       19 January 2015</w:t>
            </w:r>
          </w:p>
          <w:p w:rsidR="007E242C" w:rsidRDefault="007E242C">
            <w:pPr>
              <w:spacing w:line="276" w:lineRule="auto"/>
              <w:jc w:val="both"/>
              <w:rPr>
                <w:rFonts w:ascii="Calibri" w:hAnsi="Calibri"/>
                <w:sz w:val="20"/>
                <w:szCs w:val="20"/>
                <w:lang w:val="en" w:eastAsia="en-US"/>
              </w:rPr>
            </w:pPr>
          </w:p>
          <w:p w:rsidR="007E242C" w:rsidRDefault="007E242C">
            <w:pPr>
              <w:spacing w:line="276" w:lineRule="auto"/>
              <w:jc w:val="both"/>
              <w:rPr>
                <w:rFonts w:ascii="Calibri" w:hAnsi="Calibri"/>
                <w:sz w:val="20"/>
                <w:szCs w:val="20"/>
                <w:lang w:val="en" w:eastAsia="en-US"/>
              </w:rPr>
            </w:pPr>
          </w:p>
          <w:p w:rsidR="007E242C" w:rsidRDefault="007E242C">
            <w:pPr>
              <w:pStyle w:val="Lijstalinea"/>
              <w:spacing w:line="276" w:lineRule="auto"/>
              <w:ind w:left="709" w:hanging="360"/>
              <w:jc w:val="both"/>
              <w:rPr>
                <w:sz w:val="20"/>
                <w:szCs w:val="20"/>
                <w:lang w:val="en-GB" w:eastAsia="en-US"/>
              </w:rPr>
            </w:pPr>
            <w:r>
              <w:rPr>
                <w:b/>
                <w:bCs/>
                <w:sz w:val="20"/>
                <w:szCs w:val="20"/>
                <w:lang w:val="en-GB" w:eastAsia="en-US"/>
              </w:rPr>
              <w:t>1.</w:t>
            </w:r>
            <w:r>
              <w:rPr>
                <w:rFonts w:ascii="Times New Roman" w:hAnsi="Times New Roman"/>
                <w:b/>
                <w:bCs/>
                <w:sz w:val="14"/>
                <w:szCs w:val="14"/>
                <w:lang w:val="en-GB" w:eastAsia="en-US"/>
              </w:rPr>
              <w:t xml:space="preserve">       </w:t>
            </w:r>
            <w:r>
              <w:rPr>
                <w:b/>
                <w:bCs/>
                <w:sz w:val="20"/>
                <w:szCs w:val="20"/>
                <w:lang w:val="en-GB" w:eastAsia="en-US"/>
              </w:rPr>
              <w:t>Taxes and state aid: Commission publishes decision to open investigation into Amazon´s transfer pricing arrangements  with Luxembourg</w:t>
            </w:r>
          </w:p>
          <w:p w:rsidR="007E242C" w:rsidRDefault="007E242C">
            <w:pPr>
              <w:pStyle w:val="Lijstalinea"/>
              <w:spacing w:line="276" w:lineRule="auto"/>
              <w:ind w:left="426"/>
              <w:jc w:val="both"/>
              <w:rPr>
                <w:sz w:val="20"/>
                <w:szCs w:val="20"/>
                <w:lang w:val="en-GB" w:eastAsia="en-US"/>
              </w:rPr>
            </w:pPr>
          </w:p>
          <w:p w:rsidR="007E242C" w:rsidRDefault="007E242C">
            <w:pPr>
              <w:pStyle w:val="Lijstalinea"/>
              <w:spacing w:line="276" w:lineRule="auto"/>
              <w:ind w:left="426"/>
              <w:jc w:val="both"/>
              <w:rPr>
                <w:sz w:val="20"/>
                <w:szCs w:val="20"/>
                <w:lang w:val="en-GB" w:eastAsia="en-US"/>
              </w:rPr>
            </w:pPr>
            <w:r>
              <w:rPr>
                <w:sz w:val="20"/>
                <w:szCs w:val="20"/>
                <w:lang w:val="en-GB" w:eastAsia="en-US"/>
              </w:rPr>
              <w:t>On 16 December 2014, the European Commission has published the non-confidential version of the decision taken on 7 October 2014 to open an in-depth investigation into transfer pricing arrangements on corporate taxation of Amazon in Luxembourg.</w:t>
            </w:r>
          </w:p>
          <w:p w:rsidR="007E242C" w:rsidRDefault="007E242C">
            <w:pPr>
              <w:pStyle w:val="Lijstalinea"/>
              <w:spacing w:line="276" w:lineRule="auto"/>
              <w:ind w:left="426"/>
              <w:jc w:val="both"/>
              <w:rPr>
                <w:sz w:val="20"/>
                <w:szCs w:val="20"/>
                <w:lang w:val="en-GB" w:eastAsia="en-US"/>
              </w:rPr>
            </w:pPr>
          </w:p>
          <w:p w:rsidR="007E242C" w:rsidRDefault="007E242C">
            <w:pPr>
              <w:pStyle w:val="Lijstalinea"/>
              <w:spacing w:line="276" w:lineRule="auto"/>
              <w:ind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Decision (reference no. 38944) of 7 October 2014 (</w:t>
            </w:r>
            <w:hyperlink r:id="rId7" w:history="1">
              <w:r>
                <w:rPr>
                  <w:rStyle w:val="Hyperlink"/>
                  <w:sz w:val="20"/>
                  <w:szCs w:val="20"/>
                  <w:lang w:val="en-GB" w:eastAsia="en-US"/>
                </w:rPr>
                <w:t>EN</w:t>
              </w:r>
            </w:hyperlink>
            <w:r>
              <w:rPr>
                <w:sz w:val="20"/>
                <w:szCs w:val="20"/>
                <w:lang w:val="en-GB" w:eastAsia="en-US"/>
              </w:rPr>
              <w:t>) (</w:t>
            </w:r>
            <w:hyperlink r:id="rId8" w:history="1">
              <w:r>
                <w:rPr>
                  <w:rStyle w:val="Hyperlink"/>
                  <w:sz w:val="20"/>
                  <w:szCs w:val="20"/>
                  <w:lang w:val="en-GB" w:eastAsia="en-US"/>
                </w:rPr>
                <w:t>FR</w:t>
              </w:r>
            </w:hyperlink>
            <w:r>
              <w:rPr>
                <w:sz w:val="20"/>
                <w:szCs w:val="20"/>
                <w:lang w:val="en-GB" w:eastAsia="en-US"/>
              </w:rPr>
              <w:t>)</w:t>
            </w:r>
          </w:p>
          <w:p w:rsidR="007E242C" w:rsidRDefault="007E242C">
            <w:pPr>
              <w:spacing w:line="276" w:lineRule="auto"/>
              <w:jc w:val="both"/>
              <w:rPr>
                <w:rFonts w:ascii="Calibri" w:hAnsi="Calibri"/>
                <w:sz w:val="20"/>
                <w:szCs w:val="20"/>
                <w:lang w:val="en-GB" w:eastAsia="en-US"/>
              </w:rPr>
            </w:pPr>
          </w:p>
          <w:p w:rsidR="007E242C" w:rsidRDefault="007E242C">
            <w:pPr>
              <w:pStyle w:val="Lijstalinea"/>
              <w:spacing w:line="276" w:lineRule="auto"/>
              <w:ind w:hanging="360"/>
              <w:jc w:val="both"/>
              <w:rPr>
                <w:b/>
                <w:bCs/>
                <w:sz w:val="20"/>
                <w:szCs w:val="20"/>
                <w:lang w:val="en-GB" w:eastAsia="en-US"/>
              </w:rPr>
            </w:pPr>
            <w:r>
              <w:rPr>
                <w:b/>
                <w:bCs/>
                <w:sz w:val="20"/>
                <w:szCs w:val="20"/>
                <w:lang w:val="en-GB" w:eastAsia="en-US"/>
              </w:rPr>
              <w:t>2.</w:t>
            </w:r>
            <w:r>
              <w:rPr>
                <w:rFonts w:ascii="Times New Roman" w:hAnsi="Times New Roman"/>
                <w:b/>
                <w:bCs/>
                <w:sz w:val="14"/>
                <w:szCs w:val="14"/>
                <w:lang w:val="en-GB" w:eastAsia="en-US"/>
              </w:rPr>
              <w:t xml:space="preserve">       </w:t>
            </w:r>
            <w:r>
              <w:rPr>
                <w:b/>
                <w:bCs/>
                <w:sz w:val="20"/>
                <w:szCs w:val="20"/>
                <w:lang w:val="en-GB" w:eastAsia="en-US"/>
              </w:rPr>
              <w:t>Taxes and state aid: EP to launch enquiry committee</w:t>
            </w:r>
          </w:p>
          <w:p w:rsidR="007E242C" w:rsidRDefault="007E242C">
            <w:pPr>
              <w:spacing w:line="276" w:lineRule="auto"/>
              <w:jc w:val="both"/>
              <w:rPr>
                <w:rFonts w:ascii="Calibri" w:hAnsi="Calibri"/>
                <w:sz w:val="20"/>
                <w:szCs w:val="20"/>
                <w:lang w:val="en-GB" w:eastAsia="en-US"/>
              </w:rPr>
            </w:pPr>
          </w:p>
          <w:p w:rsidR="007E242C" w:rsidRDefault="007E242C">
            <w:pPr>
              <w:spacing w:line="276" w:lineRule="auto"/>
              <w:ind w:left="426"/>
              <w:jc w:val="both"/>
              <w:rPr>
                <w:rFonts w:ascii="Calibri" w:hAnsi="Calibri"/>
                <w:sz w:val="20"/>
                <w:szCs w:val="20"/>
                <w:lang w:val="en-GB" w:eastAsia="en-US"/>
              </w:rPr>
            </w:pPr>
            <w:r>
              <w:rPr>
                <w:rFonts w:ascii="Calibri" w:hAnsi="Calibri"/>
                <w:sz w:val="20"/>
                <w:szCs w:val="20"/>
                <w:lang w:val="en-GB" w:eastAsia="en-US"/>
              </w:rPr>
              <w:t>After a failed first attempt in December 2014, a sufficient number of 188 members of the European Parliament demanded EP President Martin Schulz on 14 January 2015 to set up an enquiry committee, dealing with the question whether EU member states have infringed EU state aid rules by granting an advantageous tax treatment to multinational companies in the past. The parties supporting the initiative managed to gather a number of dissenting MEPs from the EPP and S&amp;D groups which had blocked the first attempt. The EP´s Conference of Presidents, which also includes  the EP´s vice-presidents from the other parties, will set up the terms of reference agreement on which is expected on 5 February 2015. The terms of reference will then have to be approved by the EP plenary in February.</w:t>
            </w:r>
          </w:p>
          <w:p w:rsidR="007E242C" w:rsidRDefault="007E242C">
            <w:pPr>
              <w:spacing w:line="276" w:lineRule="auto"/>
              <w:jc w:val="both"/>
              <w:rPr>
                <w:rFonts w:ascii="Calibri" w:hAnsi="Calibri"/>
                <w:sz w:val="20"/>
                <w:szCs w:val="20"/>
                <w:lang w:val="en-GB" w:eastAsia="en-US"/>
              </w:rPr>
            </w:pPr>
          </w:p>
          <w:p w:rsidR="007E242C" w:rsidRDefault="007E242C">
            <w:pPr>
              <w:pStyle w:val="Lijstalinea"/>
              <w:spacing w:line="276" w:lineRule="auto"/>
              <w:ind w:hanging="360"/>
              <w:jc w:val="both"/>
              <w:rPr>
                <w:b/>
                <w:bCs/>
                <w:sz w:val="20"/>
                <w:szCs w:val="20"/>
                <w:lang w:val="en-GB" w:eastAsia="en-US"/>
              </w:rPr>
            </w:pPr>
            <w:r>
              <w:rPr>
                <w:b/>
                <w:bCs/>
                <w:sz w:val="20"/>
                <w:szCs w:val="20"/>
                <w:lang w:val="en-GB" w:eastAsia="en-US"/>
              </w:rPr>
              <w:t>3.</w:t>
            </w:r>
            <w:r>
              <w:rPr>
                <w:rFonts w:ascii="Times New Roman" w:hAnsi="Times New Roman"/>
                <w:b/>
                <w:bCs/>
                <w:sz w:val="14"/>
                <w:szCs w:val="14"/>
                <w:lang w:val="en-GB" w:eastAsia="en-US"/>
              </w:rPr>
              <w:t xml:space="preserve">       </w:t>
            </w:r>
            <w:r>
              <w:rPr>
                <w:b/>
                <w:bCs/>
                <w:sz w:val="20"/>
                <w:szCs w:val="20"/>
                <w:lang w:val="en-GB" w:eastAsia="en-US"/>
              </w:rPr>
              <w:t>Commission publishes updated VAT tables</w:t>
            </w:r>
          </w:p>
          <w:p w:rsidR="007E242C" w:rsidRDefault="007E242C">
            <w:pPr>
              <w:pStyle w:val="Lijstalinea"/>
              <w:spacing w:line="276" w:lineRule="auto"/>
              <w:jc w:val="both"/>
              <w:rPr>
                <w:sz w:val="20"/>
                <w:szCs w:val="20"/>
                <w:lang w:val="en-GB" w:eastAsia="en-US"/>
              </w:rPr>
            </w:pPr>
          </w:p>
          <w:p w:rsidR="007E242C" w:rsidRDefault="007E242C">
            <w:pPr>
              <w:pStyle w:val="Lijstalinea"/>
              <w:spacing w:line="276" w:lineRule="auto"/>
              <w:ind w:left="426"/>
              <w:jc w:val="both"/>
              <w:rPr>
                <w:sz w:val="20"/>
                <w:szCs w:val="20"/>
                <w:lang w:val="en-GB" w:eastAsia="en-US"/>
              </w:rPr>
            </w:pPr>
            <w:r>
              <w:rPr>
                <w:sz w:val="20"/>
                <w:szCs w:val="20"/>
                <w:lang w:val="en-GB" w:eastAsia="en-US"/>
              </w:rPr>
              <w:t>The European Commission has updated its tables on the different VAT rates applied in EU member states to 1 January 2015. The lists also include information on the evolution of the rates since the introduction of VAT.</w:t>
            </w:r>
          </w:p>
          <w:p w:rsidR="007E242C" w:rsidRDefault="007E242C">
            <w:pPr>
              <w:pStyle w:val="Lijstalinea"/>
              <w:spacing w:line="276" w:lineRule="auto"/>
              <w:jc w:val="both"/>
              <w:rPr>
                <w:sz w:val="20"/>
                <w:szCs w:val="20"/>
                <w:lang w:val="en-GB" w:eastAsia="en-US"/>
              </w:rPr>
            </w:pPr>
          </w:p>
          <w:p w:rsidR="007E242C" w:rsidRDefault="007E242C">
            <w:pPr>
              <w:pStyle w:val="Lijstalinea"/>
              <w:spacing w:line="276" w:lineRule="auto"/>
              <w:ind w:hanging="360"/>
              <w:jc w:val="both"/>
              <w:rPr>
                <w:sz w:val="20"/>
                <w:szCs w:val="20"/>
                <w:lang w:eastAsia="en-US"/>
              </w:rPr>
            </w:pPr>
            <w:r>
              <w:rPr>
                <w:sz w:val="20"/>
                <w:szCs w:val="20"/>
                <w:lang w:eastAsia="en-US"/>
              </w:rPr>
              <w:t>-</w:t>
            </w:r>
            <w:r>
              <w:rPr>
                <w:rFonts w:ascii="Times New Roman" w:hAnsi="Times New Roman"/>
                <w:sz w:val="14"/>
                <w:szCs w:val="14"/>
                <w:lang w:eastAsia="en-US"/>
              </w:rPr>
              <w:t xml:space="preserve">          </w:t>
            </w:r>
            <w:proofErr w:type="spellStart"/>
            <w:r>
              <w:rPr>
                <w:sz w:val="20"/>
                <w:szCs w:val="20"/>
                <w:lang w:eastAsia="en-US"/>
              </w:rPr>
              <w:t>Updated</w:t>
            </w:r>
            <w:proofErr w:type="spellEnd"/>
            <w:r>
              <w:rPr>
                <w:sz w:val="20"/>
                <w:szCs w:val="20"/>
                <w:lang w:eastAsia="en-US"/>
              </w:rPr>
              <w:t xml:space="preserve"> VAT </w:t>
            </w:r>
            <w:proofErr w:type="spellStart"/>
            <w:r>
              <w:rPr>
                <w:sz w:val="20"/>
                <w:szCs w:val="20"/>
                <w:lang w:eastAsia="en-US"/>
              </w:rPr>
              <w:t>tables</w:t>
            </w:r>
            <w:proofErr w:type="spellEnd"/>
            <w:r>
              <w:rPr>
                <w:sz w:val="20"/>
                <w:szCs w:val="20"/>
                <w:lang w:eastAsia="en-US"/>
              </w:rPr>
              <w:t xml:space="preserve"> (</w:t>
            </w:r>
            <w:hyperlink r:id="rId9" w:history="1">
              <w:r>
                <w:rPr>
                  <w:rStyle w:val="Hyperlink"/>
                  <w:sz w:val="20"/>
                  <w:szCs w:val="20"/>
                  <w:lang w:eastAsia="en-US"/>
                </w:rPr>
                <w:t>EN DE FR</w:t>
              </w:r>
            </w:hyperlink>
            <w:r>
              <w:rPr>
                <w:sz w:val="20"/>
                <w:szCs w:val="20"/>
                <w:lang w:eastAsia="en-US"/>
              </w:rPr>
              <w:t>)</w:t>
            </w:r>
          </w:p>
          <w:p w:rsidR="007E242C" w:rsidRDefault="007E242C">
            <w:pPr>
              <w:spacing w:line="276" w:lineRule="auto"/>
              <w:jc w:val="both"/>
              <w:rPr>
                <w:rFonts w:ascii="Calibri" w:hAnsi="Calibri"/>
                <w:sz w:val="20"/>
                <w:szCs w:val="20"/>
                <w:lang w:eastAsia="en-US"/>
              </w:rPr>
            </w:pPr>
          </w:p>
          <w:p w:rsidR="007E242C" w:rsidRDefault="007E242C">
            <w:pPr>
              <w:pStyle w:val="Lijstalinea"/>
              <w:spacing w:line="276" w:lineRule="auto"/>
              <w:ind w:hanging="360"/>
              <w:jc w:val="both"/>
              <w:rPr>
                <w:b/>
                <w:bCs/>
                <w:sz w:val="20"/>
                <w:szCs w:val="20"/>
                <w:lang w:val="en-GB" w:eastAsia="en-US"/>
              </w:rPr>
            </w:pPr>
            <w:r>
              <w:rPr>
                <w:b/>
                <w:bCs/>
                <w:sz w:val="20"/>
                <w:szCs w:val="20"/>
                <w:lang w:val="en-GB" w:eastAsia="en-US"/>
              </w:rPr>
              <w:t>4.</w:t>
            </w:r>
            <w:r>
              <w:rPr>
                <w:rFonts w:ascii="Times New Roman" w:hAnsi="Times New Roman"/>
                <w:b/>
                <w:bCs/>
                <w:sz w:val="14"/>
                <w:szCs w:val="14"/>
                <w:lang w:val="en-GB" w:eastAsia="en-US"/>
              </w:rPr>
              <w:t xml:space="preserve">       </w:t>
            </w:r>
            <w:r>
              <w:rPr>
                <w:b/>
                <w:bCs/>
                <w:sz w:val="20"/>
                <w:szCs w:val="20"/>
                <w:lang w:val="en-GB" w:eastAsia="en-US"/>
              </w:rPr>
              <w:t>Professional Law: Rules on consumer contracts apply to lawyer´s engagement with client</w:t>
            </w:r>
          </w:p>
          <w:p w:rsidR="007E242C" w:rsidRDefault="007E242C">
            <w:pPr>
              <w:pStyle w:val="Lijstalinea"/>
              <w:spacing w:line="276" w:lineRule="auto"/>
              <w:jc w:val="both"/>
              <w:rPr>
                <w:sz w:val="20"/>
                <w:szCs w:val="20"/>
                <w:lang w:val="en-GB" w:eastAsia="en-US"/>
              </w:rPr>
            </w:pPr>
          </w:p>
          <w:p w:rsidR="007E242C" w:rsidRDefault="007E242C">
            <w:pPr>
              <w:pStyle w:val="Lijstalinea"/>
              <w:spacing w:line="276" w:lineRule="auto"/>
              <w:ind w:left="426"/>
              <w:jc w:val="both"/>
              <w:rPr>
                <w:sz w:val="20"/>
                <w:szCs w:val="20"/>
                <w:lang w:val="en-GB" w:eastAsia="en-US"/>
              </w:rPr>
            </w:pPr>
            <w:r>
              <w:rPr>
                <w:sz w:val="20"/>
                <w:szCs w:val="20"/>
                <w:lang w:val="en-GB" w:eastAsia="en-US"/>
              </w:rPr>
              <w:t xml:space="preserve">The EU Court of Justice decided on 15 January 2015 in the preliminary ruling case C-537/13, </w:t>
            </w:r>
            <w:proofErr w:type="spellStart"/>
            <w:r>
              <w:rPr>
                <w:sz w:val="20"/>
                <w:szCs w:val="20"/>
                <w:lang w:val="en-GB" w:eastAsia="en-US"/>
              </w:rPr>
              <w:t>Šiba</w:t>
            </w:r>
            <w:proofErr w:type="spellEnd"/>
            <w:r>
              <w:rPr>
                <w:sz w:val="20"/>
                <w:szCs w:val="20"/>
                <w:lang w:val="en-GB" w:eastAsia="en-US"/>
              </w:rPr>
              <w:t xml:space="preserve">, upon reference by the Lithuanian Supreme Court that the EU Directive on unfair terms in consumer contracts 93/13/EEC may also apply to standard terms of contracts for the provision of legal services between a lawyer and a client. A lawyer is thus to be considered a “seller” or “supplier” in the sense of the Directive, despite his exercise of a liberal profession. The Directive 93/13/EEC has been amended by the EU Consumer Rights Directive 2011/83/EU which was not yet in force at the time of the case at issue but it </w:t>
            </w:r>
            <w:r>
              <w:rPr>
                <w:sz w:val="20"/>
                <w:szCs w:val="20"/>
                <w:lang w:val="en-GB" w:eastAsia="en-US"/>
              </w:rPr>
              <w:lastRenderedPageBreak/>
              <w:t>seems likely that the Court would decide in the same way for a contract concluded today by a tax adviser and his/her consumer client.</w:t>
            </w:r>
          </w:p>
          <w:p w:rsidR="007E242C" w:rsidRDefault="007E242C">
            <w:pPr>
              <w:pStyle w:val="Lijstalinea"/>
              <w:spacing w:line="276" w:lineRule="auto"/>
              <w:ind w:left="426"/>
              <w:rPr>
                <w:sz w:val="20"/>
                <w:szCs w:val="20"/>
                <w:lang w:val="en-GB" w:eastAsia="en-US"/>
              </w:rPr>
            </w:pPr>
          </w:p>
          <w:p w:rsidR="007E242C" w:rsidRDefault="007E242C">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proofErr w:type="spellStart"/>
            <w:r>
              <w:rPr>
                <w:sz w:val="20"/>
                <w:szCs w:val="20"/>
                <w:lang w:eastAsia="en-US"/>
              </w:rPr>
              <w:t>Judgment</w:t>
            </w:r>
            <w:proofErr w:type="spellEnd"/>
            <w:r>
              <w:rPr>
                <w:sz w:val="20"/>
                <w:szCs w:val="20"/>
                <w:lang w:eastAsia="en-US"/>
              </w:rPr>
              <w:t xml:space="preserve">: </w:t>
            </w:r>
            <w:hyperlink r:id="rId10" w:history="1">
              <w:r>
                <w:rPr>
                  <w:rStyle w:val="Hyperlink"/>
                  <w:sz w:val="20"/>
                  <w:szCs w:val="20"/>
                  <w:lang w:eastAsia="en-US"/>
                </w:rPr>
                <w:t>EN</w:t>
              </w:r>
            </w:hyperlink>
            <w:r>
              <w:rPr>
                <w:sz w:val="20"/>
                <w:szCs w:val="20"/>
                <w:lang w:eastAsia="en-US"/>
              </w:rPr>
              <w:t xml:space="preserve"> (</w:t>
            </w:r>
            <w:proofErr w:type="spellStart"/>
            <w:r>
              <w:rPr>
                <w:sz w:val="20"/>
                <w:szCs w:val="20"/>
                <w:lang w:eastAsia="en-US"/>
              </w:rPr>
              <w:t>all</w:t>
            </w:r>
            <w:proofErr w:type="spellEnd"/>
            <w:r>
              <w:rPr>
                <w:sz w:val="20"/>
                <w:szCs w:val="20"/>
                <w:lang w:eastAsia="en-US"/>
              </w:rPr>
              <w:t xml:space="preserve"> EU </w:t>
            </w:r>
            <w:proofErr w:type="spellStart"/>
            <w:r>
              <w:rPr>
                <w:sz w:val="20"/>
                <w:szCs w:val="20"/>
                <w:lang w:eastAsia="en-US"/>
              </w:rPr>
              <w:t>languages</w:t>
            </w:r>
            <w:proofErr w:type="spellEnd"/>
            <w:r>
              <w:rPr>
                <w:sz w:val="20"/>
                <w:szCs w:val="20"/>
                <w:lang w:eastAsia="en-US"/>
              </w:rPr>
              <w:t>)</w:t>
            </w:r>
          </w:p>
          <w:p w:rsidR="007E242C" w:rsidRDefault="007E242C">
            <w:pPr>
              <w:pStyle w:val="Lijstalinea"/>
              <w:spacing w:line="276" w:lineRule="auto"/>
              <w:rPr>
                <w:sz w:val="20"/>
                <w:szCs w:val="20"/>
                <w:lang w:eastAsia="en-US"/>
              </w:rPr>
            </w:pPr>
          </w:p>
          <w:p w:rsidR="007E242C" w:rsidRDefault="007E242C">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7E242C" w:rsidRDefault="007E242C">
            <w:pPr>
              <w:spacing w:line="276" w:lineRule="auto"/>
              <w:jc w:val="both"/>
              <w:rPr>
                <w:rFonts w:ascii="Calibri" w:hAnsi="Calibri"/>
                <w:sz w:val="20"/>
                <w:szCs w:val="20"/>
                <w:lang w:val="en-GB" w:eastAsia="en-US"/>
              </w:rPr>
            </w:pPr>
          </w:p>
          <w:p w:rsidR="007E242C" w:rsidRDefault="007E242C">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7E242C" w:rsidRDefault="007E242C">
            <w:pPr>
              <w:pStyle w:val="Lijstalinea"/>
              <w:spacing w:line="276" w:lineRule="auto"/>
              <w:ind w:left="126"/>
              <w:jc w:val="center"/>
              <w:rPr>
                <w:i/>
                <w:iCs/>
                <w:sz w:val="20"/>
                <w:szCs w:val="20"/>
                <w:lang w:val="en-GB" w:eastAsia="en-US"/>
              </w:rPr>
            </w:pPr>
          </w:p>
          <w:p w:rsidR="007E242C" w:rsidRDefault="007E242C">
            <w:pPr>
              <w:pStyle w:val="Lijstalinea"/>
              <w:spacing w:line="276" w:lineRule="auto"/>
              <w:ind w:left="126"/>
              <w:jc w:val="center"/>
              <w:rPr>
                <w:rStyle w:val="Hyperlink"/>
                <w:lang w:val="en-US"/>
              </w:rPr>
            </w:pPr>
            <w:hyperlink r:id="rId11" w:history="1">
              <w:r>
                <w:rPr>
                  <w:rStyle w:val="Hyperlink"/>
                  <w:i/>
                  <w:iCs/>
                  <w:sz w:val="20"/>
                  <w:szCs w:val="20"/>
                  <w:lang w:val="en-GB" w:eastAsia="en-US"/>
                </w:rPr>
                <w:t>www.cfe-eutax.org</w:t>
              </w:r>
            </w:hyperlink>
          </w:p>
          <w:p w:rsidR="007E242C" w:rsidRDefault="007E242C">
            <w:pPr>
              <w:pStyle w:val="Lijstalinea"/>
              <w:spacing w:line="276" w:lineRule="auto"/>
              <w:ind w:left="126"/>
              <w:jc w:val="center"/>
              <w:rPr>
                <w:rStyle w:val="Hyperlink"/>
                <w:i/>
                <w:iCs/>
                <w:sz w:val="20"/>
                <w:szCs w:val="20"/>
                <w:lang w:val="en-GB" w:eastAsia="en-US"/>
              </w:rPr>
            </w:pPr>
          </w:p>
          <w:p w:rsidR="007E242C" w:rsidRDefault="007E242C">
            <w:pPr>
              <w:pStyle w:val="Lijstalinea"/>
              <w:spacing w:line="276" w:lineRule="auto"/>
              <w:ind w:left="126"/>
              <w:jc w:val="center"/>
              <w:rPr>
                <w:lang w:val="en-US"/>
              </w:rPr>
            </w:pPr>
            <w:r>
              <w:rPr>
                <w:i/>
                <w:iCs/>
                <w:sz w:val="20"/>
                <w:szCs w:val="20"/>
                <w:lang w:val="en-US" w:eastAsia="en-US"/>
              </w:rPr>
              <w:t xml:space="preserve">Follow us on </w:t>
            </w:r>
            <w:hyperlink r:id="rId12"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14:anchorId="6F8F3D2A" wp14:editId="652A5D0B">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AA5C.15EA18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eastAsia="en-US"/>
              </w:rPr>
              <w:t> </w:t>
            </w:r>
          </w:p>
        </w:tc>
      </w:tr>
      <w:tr w:rsidR="007E242C" w:rsidTr="007E242C">
        <w:trPr>
          <w:tblCellSpacing w:w="0" w:type="dxa"/>
        </w:trPr>
        <w:tc>
          <w:tcPr>
            <w:tcW w:w="9672" w:type="dxa"/>
            <w:tcBorders>
              <w:top w:val="nil"/>
              <w:left w:val="nil"/>
              <w:bottom w:val="nil"/>
              <w:right w:val="nil"/>
            </w:tcBorders>
            <w:tcMar>
              <w:top w:w="375" w:type="dxa"/>
              <w:left w:w="300" w:type="dxa"/>
              <w:bottom w:w="300" w:type="dxa"/>
              <w:right w:w="300" w:type="dxa"/>
            </w:tcMar>
            <w:vAlign w:val="center"/>
          </w:tcPr>
          <w:p w:rsidR="007E242C" w:rsidRDefault="007E242C">
            <w:pPr>
              <w:spacing w:line="276" w:lineRule="auto"/>
              <w:jc w:val="both"/>
              <w:rPr>
                <w:rFonts w:ascii="Calibri" w:hAnsi="Calibri"/>
                <w:sz w:val="20"/>
                <w:szCs w:val="20"/>
                <w:lang w:val="en-US" w:eastAsia="en-US"/>
              </w:rPr>
            </w:pPr>
          </w:p>
        </w:tc>
      </w:tr>
    </w:tbl>
    <w:p w:rsidR="007E242C" w:rsidRDefault="007E242C" w:rsidP="007E242C">
      <w:pPr>
        <w:rPr>
          <w:lang w:val="en-US"/>
        </w:rPr>
      </w:pPr>
    </w:p>
    <w:p w:rsidR="00667086" w:rsidRDefault="00667086"/>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2C"/>
    <w:rsid w:val="00667086"/>
    <w:rsid w:val="007E2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242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E242C"/>
    <w:rPr>
      <w:color w:val="0000FF"/>
      <w:u w:val="single"/>
    </w:rPr>
  </w:style>
  <w:style w:type="paragraph" w:styleId="Lijstalinea">
    <w:name w:val="List Paragraph"/>
    <w:basedOn w:val="Standaard"/>
    <w:uiPriority w:val="34"/>
    <w:qFormat/>
    <w:rsid w:val="007E242C"/>
    <w:pPr>
      <w:ind w:left="720"/>
    </w:pPr>
    <w:rPr>
      <w:rFonts w:ascii="Calibri" w:hAnsi="Calibri"/>
      <w:sz w:val="22"/>
      <w:szCs w:val="22"/>
    </w:rPr>
  </w:style>
  <w:style w:type="paragraph" w:styleId="Ballontekst">
    <w:name w:val="Balloon Text"/>
    <w:basedOn w:val="Standaard"/>
    <w:link w:val="BallontekstChar"/>
    <w:uiPriority w:val="99"/>
    <w:semiHidden/>
    <w:unhideWhenUsed/>
    <w:rsid w:val="007E242C"/>
    <w:rPr>
      <w:rFonts w:ascii="Tahoma" w:hAnsi="Tahoma" w:cs="Tahoma"/>
      <w:sz w:val="16"/>
      <w:szCs w:val="16"/>
    </w:rPr>
  </w:style>
  <w:style w:type="character" w:customStyle="1" w:styleId="BallontekstChar">
    <w:name w:val="Ballontekst Char"/>
    <w:basedOn w:val="Standaardalinea-lettertype"/>
    <w:link w:val="Ballontekst"/>
    <w:uiPriority w:val="99"/>
    <w:semiHidden/>
    <w:rsid w:val="007E242C"/>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242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E242C"/>
    <w:rPr>
      <w:color w:val="0000FF"/>
      <w:u w:val="single"/>
    </w:rPr>
  </w:style>
  <w:style w:type="paragraph" w:styleId="Lijstalinea">
    <w:name w:val="List Paragraph"/>
    <w:basedOn w:val="Standaard"/>
    <w:uiPriority w:val="34"/>
    <w:qFormat/>
    <w:rsid w:val="007E242C"/>
    <w:pPr>
      <w:ind w:left="720"/>
    </w:pPr>
    <w:rPr>
      <w:rFonts w:ascii="Calibri" w:hAnsi="Calibri"/>
      <w:sz w:val="22"/>
      <w:szCs w:val="22"/>
    </w:rPr>
  </w:style>
  <w:style w:type="paragraph" w:styleId="Ballontekst">
    <w:name w:val="Balloon Text"/>
    <w:basedOn w:val="Standaard"/>
    <w:link w:val="BallontekstChar"/>
    <w:uiPriority w:val="99"/>
    <w:semiHidden/>
    <w:unhideWhenUsed/>
    <w:rsid w:val="007E242C"/>
    <w:rPr>
      <w:rFonts w:ascii="Tahoma" w:hAnsi="Tahoma" w:cs="Tahoma"/>
      <w:sz w:val="16"/>
      <w:szCs w:val="16"/>
    </w:rPr>
  </w:style>
  <w:style w:type="character" w:customStyle="1" w:styleId="BallontekstChar">
    <w:name w:val="Ballontekst Char"/>
    <w:basedOn w:val="Standaardalinea-lettertype"/>
    <w:link w:val="Ballontekst"/>
    <w:uiPriority w:val="99"/>
    <w:semiHidden/>
    <w:rsid w:val="007E242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mpetition/state_aid/cases/254685/254685_1614268_71_2.pdf"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ec.europa.eu/competition/state_aid/cases/254685/254685_1614265_70_2.pdf" TargetMode="External"/><Relationship Id="rId12" Type="http://schemas.openxmlformats.org/officeDocument/2006/relationships/hyperlink" Target="http://www.linkedin.com/company/confederation-fiscal-europeene?trk=company_nam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2.jpg@01D033F5.B144E1F0" TargetMode="External"/><Relationship Id="rId11" Type="http://schemas.openxmlformats.org/officeDocument/2006/relationships/hyperlink" Target="http://www.cfe-eutax.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uria.europa.eu/juris/document/document.jsf?text=&amp;docid=161389&amp;pageIndex=0&amp;doclang=en&amp;mode=lst&amp;dir=&amp;occ=first&amp;part=1&amp;cid=104812" TargetMode="External"/><Relationship Id="rId4" Type="http://schemas.openxmlformats.org/officeDocument/2006/relationships/webSettings" Target="webSettings.xml"/><Relationship Id="rId9" Type="http://schemas.openxmlformats.org/officeDocument/2006/relationships/hyperlink" Target="http://ec.europa.eu/taxation_customs/resources/documents/taxation/vat/how_vat_works/rates/vat_rates_xx.pdf" TargetMode="External"/><Relationship Id="rId14" Type="http://schemas.openxmlformats.org/officeDocument/2006/relationships/image" Target="cid:image004.png@01CFAA5C.15EA181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75C19B0</Template>
  <TotalTime>1</TotalTime>
  <Pages>2</Pages>
  <Words>535</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2015-01-20T09:47:00Z</dcterms:created>
  <dcterms:modified xsi:type="dcterms:W3CDTF">2015-01-20T09:48:00Z</dcterms:modified>
</cp:coreProperties>
</file>