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80" w:rsidRDefault="00592C80" w:rsidP="00592C80">
      <w:pPr>
        <w:rPr>
          <w:rFonts w:ascii="Calibri" w:hAnsi="Calibri"/>
          <w:color w:val="1F497D"/>
          <w:sz w:val="22"/>
          <w:szCs w:val="22"/>
          <w:lang w:val="en-US"/>
        </w:rPr>
      </w:pPr>
    </w:p>
    <w:tbl>
      <w:tblPr>
        <w:tblW w:w="8154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592C80" w:rsidTr="00592C80">
        <w:trPr>
          <w:tblCellSpacing w:w="0" w:type="dxa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82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  <w:gridCol w:w="6"/>
            </w:tblGrid>
            <w:tr w:rsidR="00592C80">
              <w:trPr>
                <w:tblCellSpacing w:w="0" w:type="dxa"/>
              </w:trPr>
              <w:tc>
                <w:tcPr>
                  <w:tcW w:w="8205" w:type="dxa"/>
                  <w:vAlign w:val="center"/>
                  <w:hideMark/>
                </w:tcPr>
                <w:p w:rsidR="00592C80" w:rsidRDefault="00592C80">
                  <w:pPr>
                    <w:spacing w:line="276" w:lineRule="auto"/>
                    <w:jc w:val="both"/>
                    <w:rPr>
                      <w:rFonts w:ascii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762625" cy="666750"/>
                        <wp:effectExtent l="0" t="0" r="9525" b="0"/>
                        <wp:docPr id="2" name="Afbeelding 2" descr="cid:image002.jpg@01D02E6F.1E08DF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2.jpg@01D02E6F.1E08DF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592C80" w:rsidRDefault="00592C80">
                  <w:pPr>
                    <w:spacing w:line="276" w:lineRule="auto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  <w:lang w:eastAsia="en-US"/>
                    </w:rPr>
                  </w:pPr>
                </w:p>
                <w:p w:rsidR="00592C80" w:rsidRDefault="00592C80">
                  <w:pPr>
                    <w:spacing w:line="276" w:lineRule="auto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92C80" w:rsidRDefault="00592C80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Fiscal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Committee</w:t>
            </w:r>
            <w:proofErr w:type="spellEnd"/>
          </w:p>
          <w:p w:rsidR="00592C80" w:rsidRDefault="00592C80">
            <w:pPr>
              <w:shd w:val="clear" w:color="auto" w:fill="FEFEFE"/>
              <w:spacing w:line="276" w:lineRule="auto"/>
              <w:ind w:right="2925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 w:eastAsia="fr-B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592C80" w:rsidRDefault="00592C80">
            <w:pPr>
              <w:shd w:val="clear" w:color="auto" w:fill="FEFEFE"/>
              <w:spacing w:line="276" w:lineRule="auto"/>
              <w:ind w:left="7371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>12 January 2015</w:t>
            </w:r>
          </w:p>
          <w:p w:rsidR="00592C80" w:rsidRDefault="00592C8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592C80" w:rsidRDefault="00592C8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"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Tax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state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aid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extends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information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enquiry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all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member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states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592C80" w:rsidRDefault="00592C80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On 17 December 2014, the European </w:t>
            </w:r>
            <w:proofErr w:type="spellStart"/>
            <w:r>
              <w:rPr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has </w:t>
            </w:r>
            <w:proofErr w:type="spellStart"/>
            <w:r>
              <w:rPr>
                <w:sz w:val="20"/>
                <w:szCs w:val="20"/>
                <w:lang w:eastAsia="en-US"/>
              </w:rPr>
              <w:t>enlarged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enquiry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tax ruling </w:t>
            </w:r>
            <w:proofErr w:type="spellStart"/>
            <w:r>
              <w:rPr>
                <w:sz w:val="20"/>
                <w:szCs w:val="20"/>
                <w:lang w:eastAsia="en-US"/>
              </w:rPr>
              <w:t>practice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under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EU state </w:t>
            </w:r>
            <w:proofErr w:type="spellStart"/>
            <w:r>
              <w:rPr>
                <w:sz w:val="20"/>
                <w:szCs w:val="20"/>
                <w:lang w:eastAsia="en-US"/>
              </w:rPr>
              <w:t>aid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rules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asking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  </w:t>
            </w:r>
            <w:proofErr w:type="spellStart"/>
            <w:r>
              <w:rPr>
                <w:sz w:val="20"/>
                <w:szCs w:val="20"/>
                <w:lang w:eastAsia="en-US"/>
              </w:rPr>
              <w:t>all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member </w:t>
            </w:r>
            <w:proofErr w:type="spellStart"/>
            <w:r>
              <w:rPr>
                <w:sz w:val="20"/>
                <w:szCs w:val="20"/>
                <w:lang w:eastAsia="en-US"/>
              </w:rPr>
              <w:t>states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provide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information </w:t>
            </w:r>
            <w:proofErr w:type="spellStart"/>
            <w:r>
              <w:rPr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ruling </w:t>
            </w:r>
            <w:proofErr w:type="spellStart"/>
            <w:r>
              <w:rPr>
                <w:sz w:val="20"/>
                <w:szCs w:val="20"/>
                <w:lang w:eastAsia="en-US"/>
              </w:rPr>
              <w:t>practice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in </w:t>
            </w:r>
            <w:proofErr w:type="spellStart"/>
            <w:r>
              <w:rPr>
                <w:sz w:val="20"/>
                <w:szCs w:val="20"/>
                <w:lang w:eastAsia="en-US"/>
              </w:rPr>
              <w:t>particular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confirm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whether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provide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request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list of </w:t>
            </w:r>
            <w:proofErr w:type="spellStart"/>
            <w:r>
              <w:rPr>
                <w:sz w:val="20"/>
                <w:szCs w:val="20"/>
                <w:lang w:eastAsia="en-US"/>
              </w:rPr>
              <w:t>all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companies </w:t>
            </w:r>
            <w:proofErr w:type="spellStart"/>
            <w:r>
              <w:rPr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have </w:t>
            </w:r>
            <w:proofErr w:type="spellStart"/>
            <w:r>
              <w:rPr>
                <w:sz w:val="20"/>
                <w:szCs w:val="20"/>
                <w:lang w:eastAsia="en-US"/>
              </w:rPr>
              <w:t>received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tax ruling </w:t>
            </w:r>
            <w:proofErr w:type="spellStart"/>
            <w:r>
              <w:rPr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2010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2013.</w:t>
            </w:r>
          </w:p>
          <w:p w:rsidR="00592C80" w:rsidRDefault="00592C80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hyperlink r:id="rId7" w:history="1">
              <w:r>
                <w:rPr>
                  <w:rStyle w:val="Hyperlink"/>
                  <w:sz w:val="20"/>
                  <w:szCs w:val="20"/>
                  <w:lang w:eastAsia="en-US"/>
                </w:rPr>
                <w:t>Press release</w:t>
              </w:r>
            </w:hyperlink>
            <w:r>
              <w:rPr>
                <w:sz w:val="20"/>
                <w:szCs w:val="20"/>
                <w:lang w:eastAsia="en-US"/>
              </w:rPr>
              <w:t>, 17 December 2014 (EN, DE, FR)</w:t>
            </w:r>
          </w:p>
          <w:p w:rsidR="00592C80" w:rsidRDefault="00592C8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Fairness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taxation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among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Commission´s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2015 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priorities</w:t>
            </w:r>
            <w:proofErr w:type="spellEnd"/>
          </w:p>
          <w:p w:rsidR="00592C80" w:rsidRDefault="00592C80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On 15 December, the European </w:t>
            </w:r>
            <w:proofErr w:type="spellStart"/>
            <w:r>
              <w:rPr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published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2015 </w:t>
            </w:r>
            <w:proofErr w:type="spellStart"/>
            <w:r>
              <w:rPr>
                <w:sz w:val="20"/>
                <w:szCs w:val="20"/>
                <w:lang w:eastAsia="en-US"/>
              </w:rPr>
              <w:t>work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programme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including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roadmap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containing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23 </w:t>
            </w:r>
            <w:proofErr w:type="spellStart"/>
            <w:r>
              <w:rPr>
                <w:sz w:val="20"/>
                <w:szCs w:val="20"/>
                <w:lang w:eastAsia="en-US"/>
              </w:rPr>
              <w:t>priorities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action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taken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end of 2015. </w:t>
            </w:r>
            <w:proofErr w:type="spellStart"/>
            <w:r>
              <w:rPr>
                <w:sz w:val="20"/>
                <w:szCs w:val="20"/>
                <w:lang w:eastAsia="en-US"/>
              </w:rPr>
              <w:t>One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these is </w:t>
            </w:r>
            <w:proofErr w:type="spellStart"/>
            <w:r>
              <w:rPr>
                <w:sz w:val="20"/>
                <w:szCs w:val="20"/>
                <w:lang w:eastAsia="en-US"/>
              </w:rPr>
              <w:t>titled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“A </w:t>
            </w:r>
            <w:proofErr w:type="spellStart"/>
            <w:r>
              <w:rPr>
                <w:sz w:val="20"/>
                <w:szCs w:val="20"/>
                <w:lang w:eastAsia="en-US"/>
              </w:rPr>
              <w:t>Fairer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Approach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Taxation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”, </w:t>
            </w:r>
            <w:proofErr w:type="spellStart"/>
            <w:r>
              <w:rPr>
                <w:sz w:val="20"/>
                <w:szCs w:val="20"/>
                <w:lang w:eastAsia="en-US"/>
              </w:rPr>
              <w:t>announcing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measures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move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system on the basis of </w:t>
            </w:r>
            <w:proofErr w:type="spellStart"/>
            <w:r>
              <w:rPr>
                <w:sz w:val="20"/>
                <w:szCs w:val="20"/>
                <w:lang w:eastAsia="en-US"/>
              </w:rPr>
              <w:t>which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country </w:t>
            </w:r>
            <w:proofErr w:type="spellStart"/>
            <w:r>
              <w:rPr>
                <w:sz w:val="20"/>
                <w:szCs w:val="20"/>
                <w:lang w:eastAsia="en-US"/>
              </w:rPr>
              <w:t>where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profits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are </w:t>
            </w:r>
            <w:proofErr w:type="spellStart"/>
            <w:r>
              <w:rPr>
                <w:sz w:val="20"/>
                <w:szCs w:val="20"/>
                <w:lang w:eastAsia="en-US"/>
              </w:rPr>
              <w:t>generated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eastAsia="en-US"/>
              </w:rPr>
              <w:t>also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country of </w:t>
            </w:r>
            <w:proofErr w:type="spellStart"/>
            <w:r>
              <w:rPr>
                <w:sz w:val="20"/>
                <w:szCs w:val="20"/>
                <w:lang w:eastAsia="en-US"/>
              </w:rPr>
              <w:t>taxation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including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the digital </w:t>
            </w:r>
            <w:proofErr w:type="spellStart"/>
            <w:r>
              <w:rPr>
                <w:sz w:val="20"/>
                <w:szCs w:val="20"/>
                <w:lang w:eastAsia="en-US"/>
              </w:rPr>
              <w:t>economy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The </w:t>
            </w:r>
            <w:proofErr w:type="spellStart"/>
            <w:r>
              <w:rPr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observes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would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require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agreement on a Common </w:t>
            </w:r>
            <w:proofErr w:type="spellStart"/>
            <w:r>
              <w:rPr>
                <w:sz w:val="20"/>
                <w:szCs w:val="20"/>
                <w:lang w:eastAsia="en-US"/>
              </w:rPr>
              <w:t>Consolidated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Corporate Tax Base. </w:t>
            </w:r>
            <w:proofErr w:type="spellStart"/>
            <w:r>
              <w:rPr>
                <w:sz w:val="20"/>
                <w:szCs w:val="20"/>
                <w:lang w:eastAsia="en-US"/>
              </w:rPr>
              <w:t>There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would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swift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proposal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concerning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automatic exchange of information </w:t>
            </w:r>
            <w:proofErr w:type="spellStart"/>
            <w:r>
              <w:rPr>
                <w:sz w:val="20"/>
                <w:szCs w:val="20"/>
                <w:lang w:eastAsia="en-US"/>
              </w:rPr>
              <w:t>between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sz w:val="20"/>
                <w:szCs w:val="20"/>
                <w:lang w:eastAsia="en-US"/>
              </w:rPr>
              <w:t>authorities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on cross-border tax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The </w:t>
            </w:r>
            <w:proofErr w:type="spellStart"/>
            <w:r>
              <w:rPr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sz w:val="20"/>
                <w:szCs w:val="20"/>
                <w:lang w:eastAsia="en-US"/>
              </w:rPr>
              <w:t>also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planning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withdraw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80 (of 450 </w:t>
            </w:r>
            <w:proofErr w:type="spellStart"/>
            <w:r>
              <w:rPr>
                <w:sz w:val="20"/>
                <w:szCs w:val="20"/>
                <w:lang w:eastAsia="en-US"/>
              </w:rPr>
              <w:t>pending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sz w:val="20"/>
                <w:szCs w:val="20"/>
                <w:lang w:eastAsia="en-US"/>
              </w:rPr>
              <w:t>legislative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proposals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including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revision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the EU Energy Tax Directive </w:t>
            </w:r>
            <w:proofErr w:type="spellStart"/>
            <w:r>
              <w:rPr>
                <w:sz w:val="20"/>
                <w:szCs w:val="20"/>
                <w:lang w:eastAsia="en-US"/>
              </w:rPr>
              <w:t>proposed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 2011. </w:t>
            </w:r>
            <w:proofErr w:type="spellStart"/>
            <w:r>
              <w:rPr>
                <w:sz w:val="20"/>
                <w:szCs w:val="20"/>
                <w:lang w:eastAsia="en-US"/>
              </w:rPr>
              <w:t>Other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proposals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withdrawn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concern </w:t>
            </w:r>
            <w:proofErr w:type="spellStart"/>
            <w:r>
              <w:rPr>
                <w:sz w:val="20"/>
                <w:szCs w:val="20"/>
                <w:lang w:eastAsia="en-US"/>
              </w:rPr>
              <w:t>taxes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passenger </w:t>
            </w:r>
            <w:proofErr w:type="spellStart"/>
            <w:r>
              <w:rPr>
                <w:sz w:val="20"/>
                <w:szCs w:val="20"/>
                <w:lang w:eastAsia="en-US"/>
              </w:rPr>
              <w:t>cars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approximation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excise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duty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rates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alcohol/ic </w:t>
            </w:r>
            <w:proofErr w:type="spellStart"/>
            <w:r>
              <w:rPr>
                <w:sz w:val="20"/>
                <w:szCs w:val="20"/>
                <w:lang w:eastAsia="en-US"/>
              </w:rPr>
              <w:t>beverages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592C80" w:rsidRDefault="00592C80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hyperlink r:id="rId8" w:history="1">
              <w:r>
                <w:rPr>
                  <w:rStyle w:val="Hyperlink"/>
                  <w:sz w:val="20"/>
                  <w:szCs w:val="20"/>
                  <w:lang w:eastAsia="en-US"/>
                </w:rPr>
                <w:t>Press release</w:t>
              </w:r>
            </w:hyperlink>
            <w:r>
              <w:rPr>
                <w:sz w:val="20"/>
                <w:szCs w:val="20"/>
                <w:lang w:eastAsia="en-US"/>
              </w:rPr>
              <w:t xml:space="preserve"> of 15 December 2014: </w:t>
            </w:r>
            <w:proofErr w:type="spellStart"/>
            <w:r>
              <w:rPr>
                <w:sz w:val="20"/>
                <w:szCs w:val="20"/>
                <w:lang w:eastAsia="en-US"/>
              </w:rPr>
              <w:t>All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EU </w:t>
            </w:r>
            <w:proofErr w:type="spellStart"/>
            <w:r>
              <w:rPr>
                <w:sz w:val="20"/>
                <w:szCs w:val="20"/>
                <w:lang w:eastAsia="en-US"/>
              </w:rPr>
              <w:t>languages</w:t>
            </w:r>
            <w:proofErr w:type="spellEnd"/>
          </w:p>
          <w:p w:rsidR="00592C80" w:rsidRDefault="00592C8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hyperlink r:id="rId9" w:history="1"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Work</w:t>
              </w:r>
              <w:proofErr w:type="spellEnd"/>
              <w:r>
                <w:rPr>
                  <w:rStyle w:val="Hyperlink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programme</w:t>
              </w:r>
              <w:proofErr w:type="spellEnd"/>
            </w:hyperlink>
            <w:r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en-US"/>
              </w:rPr>
              <w:t>All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EU </w:t>
            </w:r>
            <w:proofErr w:type="spellStart"/>
            <w:r>
              <w:rPr>
                <w:sz w:val="20"/>
                <w:szCs w:val="20"/>
                <w:lang w:eastAsia="en-US"/>
              </w:rPr>
              <w:t>languages</w:t>
            </w:r>
            <w:proofErr w:type="spellEnd"/>
          </w:p>
          <w:p w:rsidR="00592C80" w:rsidRDefault="00592C80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hanging="36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eastAsia="en-US"/>
              </w:rPr>
              <w:t xml:space="preserve">      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Diverted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profits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discussed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in UK House of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Commons</w:t>
            </w:r>
            <w:proofErr w:type="spellEnd"/>
          </w:p>
          <w:p w:rsidR="00592C80" w:rsidRDefault="00592C80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92C80" w:rsidRDefault="00592C80">
            <w:pPr>
              <w:spacing w:line="276" w:lineRule="auto"/>
              <w:ind w:left="360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On 7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January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2015,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UK´s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House of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Commons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debated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newly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proposed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diverted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profits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tax,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designed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discourage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businesses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shifting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profits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592C80" w:rsidRDefault="00592C80">
            <w:pPr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hanging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          </w:t>
            </w:r>
            <w:hyperlink r:id="rId10" w:history="1">
              <w:r>
                <w:rPr>
                  <w:rStyle w:val="Hyperlink"/>
                  <w:sz w:val="20"/>
                  <w:szCs w:val="20"/>
                  <w:lang w:eastAsia="en-US"/>
                </w:rPr>
                <w:t>Meeting record</w:t>
              </w:r>
            </w:hyperlink>
            <w:r>
              <w:rPr>
                <w:sz w:val="20"/>
                <w:szCs w:val="20"/>
                <w:lang w:eastAsia="en-US"/>
              </w:rPr>
              <w:t xml:space="preserve">, 7 </w:t>
            </w:r>
            <w:proofErr w:type="spellStart"/>
            <w:r>
              <w:rPr>
                <w:sz w:val="20"/>
                <w:szCs w:val="20"/>
                <w:lang w:eastAsia="en-US"/>
              </w:rPr>
              <w:t>January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2015</w:t>
            </w:r>
          </w:p>
          <w:p w:rsidR="00592C80" w:rsidRDefault="00592C80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*****</w:t>
            </w:r>
          </w:p>
          <w:p w:rsidR="00592C80" w:rsidRDefault="00592C8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Reibel</w:t>
            </w:r>
            <w:proofErr w:type="spellEnd"/>
          </w:p>
          <w:p w:rsidR="00592C80" w:rsidRDefault="00592C80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  <w:p w:rsidR="00592C80" w:rsidRDefault="00592C80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lang w:eastAsia="fr-BE"/>
              </w:rPr>
            </w:pPr>
            <w:hyperlink r:id="rId11" w:history="1">
              <w:r>
                <w:rPr>
                  <w:rStyle w:val="Hyperlink"/>
                  <w:i/>
                  <w:iCs/>
                  <w:sz w:val="20"/>
                  <w:szCs w:val="20"/>
                </w:rPr>
                <w:t>www.cfe-eutax.org</w:t>
              </w:r>
            </w:hyperlink>
          </w:p>
          <w:p w:rsidR="00592C80" w:rsidRDefault="00592C80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i/>
                <w:iCs/>
                <w:sz w:val="20"/>
                <w:szCs w:val="20"/>
              </w:rPr>
            </w:pPr>
          </w:p>
          <w:p w:rsidR="00592C80" w:rsidRDefault="00592C80">
            <w:pPr>
              <w:pStyle w:val="Lijstalinea"/>
              <w:spacing w:line="276" w:lineRule="auto"/>
              <w:ind w:left="126"/>
              <w:jc w:val="center"/>
              <w:rPr>
                <w:lang w:val="en-US" w:eastAsia="fr-BE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Follow us on </w:t>
            </w:r>
            <w:hyperlink r:id="rId12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00025" cy="190500"/>
                  <wp:effectExtent l="0" t="0" r="9525" b="0"/>
                  <wp:docPr id="1" name="Afbeelding 1" descr="cid:image004.png@01CFAA5C.15EA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4.png@01CFAA5C.15EA1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92C80" w:rsidTr="00592C80">
        <w:trPr>
          <w:tblCellSpacing w:w="0" w:type="dxa"/>
        </w:trPr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592C80" w:rsidRDefault="00592C80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 w:eastAsia="fr-BE"/>
              </w:rPr>
            </w:pPr>
          </w:p>
        </w:tc>
      </w:tr>
    </w:tbl>
    <w:p w:rsidR="00592C80" w:rsidRDefault="00592C80" w:rsidP="00592C80">
      <w:pPr>
        <w:rPr>
          <w:rFonts w:ascii="Calibri" w:hAnsi="Calibri"/>
          <w:color w:val="1F497D"/>
          <w:sz w:val="22"/>
          <w:szCs w:val="22"/>
          <w:lang w:val="en-GB"/>
        </w:rPr>
      </w:pPr>
    </w:p>
    <w:p w:rsidR="00667086" w:rsidRDefault="00667086">
      <w:bookmarkStart w:id="0" w:name="_GoBack"/>
      <w:bookmarkEnd w:id="0"/>
    </w:p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80"/>
    <w:rsid w:val="00592C80"/>
    <w:rsid w:val="006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2C8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92C8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92C80"/>
    <w:pPr>
      <w:ind w:left="720"/>
    </w:pPr>
    <w:rPr>
      <w:rFonts w:ascii="Calibr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C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2C80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2C8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92C8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92C80"/>
    <w:pPr>
      <w:ind w:left="720"/>
    </w:pPr>
    <w:rPr>
      <w:rFonts w:ascii="Calibri" w:hAnsi="Calibr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C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2C80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rapid/press-release_IP-14-2703_en.ht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europa.eu/rapid/press-release_IP-14-2742_en.htm" TargetMode="External"/><Relationship Id="rId12" Type="http://schemas.openxmlformats.org/officeDocument/2006/relationships/hyperlink" Target="http://www.linkedin.com/company/confederation-fiscal-europeene?trk=company_nam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2.jpg@01D02E6F.1E08DFD0" TargetMode="External"/><Relationship Id="rId11" Type="http://schemas.openxmlformats.org/officeDocument/2006/relationships/hyperlink" Target="http://www.cfe-eutax.or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publications.parliament.uk/pa/cm201415/cmhansrd/cm150107/halltext/150107h00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atwork/pdf/cwp_2015_xx.pdf" TargetMode="External"/><Relationship Id="rId14" Type="http://schemas.openxmlformats.org/officeDocument/2006/relationships/image" Target="cid:image004.png@01CFAA5C.15EA181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68CF33AE</Template>
  <TotalTime>0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2015-01-13T10:57:00Z</dcterms:created>
  <dcterms:modified xsi:type="dcterms:W3CDTF">2015-01-13T10:57:00Z</dcterms:modified>
</cp:coreProperties>
</file>