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60" w:rsidRDefault="00067760" w:rsidP="00067760">
      <w:pPr>
        <w:rPr>
          <w:rFonts w:ascii="Calibri" w:hAnsi="Calibri"/>
          <w:color w:val="1F497D"/>
          <w:sz w:val="22"/>
          <w:szCs w:val="22"/>
          <w:lang w:val="en-US" w:eastAsia="en-US"/>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672"/>
      </w:tblGrid>
      <w:tr w:rsidR="00067760" w:rsidTr="00067760">
        <w:trPr>
          <w:tblCellSpacing w:w="0" w:type="dxa"/>
        </w:trPr>
        <w:tc>
          <w:tcPr>
            <w:tcW w:w="8154" w:type="dxa"/>
            <w:tcBorders>
              <w:top w:val="nil"/>
              <w:left w:val="nil"/>
              <w:bottom w:val="nil"/>
              <w:right w:val="nil"/>
            </w:tcBorders>
            <w:tcMar>
              <w:top w:w="375" w:type="dxa"/>
              <w:left w:w="300" w:type="dxa"/>
              <w:bottom w:w="300" w:type="dxa"/>
              <w:right w:w="300" w:type="dxa"/>
            </w:tcMar>
            <w:vAlign w:val="center"/>
          </w:tcPr>
          <w:tbl>
            <w:tblPr>
              <w:tblW w:w="8214" w:type="dxa"/>
              <w:tblCellSpacing w:w="0" w:type="dxa"/>
              <w:tblCellMar>
                <w:left w:w="0" w:type="dxa"/>
                <w:right w:w="0" w:type="dxa"/>
              </w:tblCellMar>
              <w:tblLook w:val="04A0" w:firstRow="1" w:lastRow="0" w:firstColumn="1" w:lastColumn="0" w:noHBand="0" w:noVBand="1"/>
            </w:tblPr>
            <w:tblGrid>
              <w:gridCol w:w="9066"/>
              <w:gridCol w:w="6"/>
            </w:tblGrid>
            <w:tr w:rsidR="00067760">
              <w:trPr>
                <w:tblCellSpacing w:w="0" w:type="dxa"/>
              </w:trPr>
              <w:tc>
                <w:tcPr>
                  <w:tcW w:w="8205" w:type="dxa"/>
                  <w:vAlign w:val="center"/>
                  <w:hideMark/>
                </w:tcPr>
                <w:p w:rsidR="00067760" w:rsidRDefault="00067760">
                  <w:pPr>
                    <w:spacing w:line="276" w:lineRule="auto"/>
                    <w:jc w:val="both"/>
                    <w:rPr>
                      <w:rFonts w:ascii="Calibri" w:hAnsi="Calibri"/>
                      <w:sz w:val="20"/>
                      <w:szCs w:val="20"/>
                      <w:lang w:val="en-GB" w:eastAsia="en-US"/>
                    </w:rPr>
                  </w:pPr>
                  <w:r>
                    <w:rPr>
                      <w:rFonts w:ascii="Calibri" w:hAnsi="Calibri"/>
                      <w:noProof/>
                      <w:sz w:val="20"/>
                      <w:szCs w:val="20"/>
                    </w:rPr>
                    <w:drawing>
                      <wp:inline distT="0" distB="0" distL="0" distR="0">
                        <wp:extent cx="5762625" cy="666750"/>
                        <wp:effectExtent l="0" t="0" r="9525" b="0"/>
                        <wp:docPr id="2" name="Afbeelding 2" descr="cid:image001.jpg@01D0186F.0BD79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186F.0BD79A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067760" w:rsidRDefault="00067760">
                  <w:pPr>
                    <w:spacing w:line="276" w:lineRule="auto"/>
                    <w:jc w:val="both"/>
                    <w:rPr>
                      <w:rFonts w:ascii="Calibri" w:hAnsi="Calibri"/>
                      <w:color w:val="ACABAB"/>
                      <w:sz w:val="20"/>
                      <w:szCs w:val="20"/>
                      <w:lang w:val="en-GB" w:eastAsia="en-US"/>
                    </w:rPr>
                  </w:pPr>
                </w:p>
                <w:p w:rsidR="00067760" w:rsidRDefault="00067760">
                  <w:pPr>
                    <w:spacing w:line="276" w:lineRule="auto"/>
                    <w:jc w:val="both"/>
                    <w:rPr>
                      <w:rFonts w:ascii="Calibri" w:hAnsi="Calibri"/>
                      <w:color w:val="ACABAB"/>
                      <w:sz w:val="20"/>
                      <w:szCs w:val="20"/>
                      <w:lang w:val="en-GB" w:eastAsia="en-US"/>
                    </w:rPr>
                  </w:pPr>
                </w:p>
              </w:tc>
            </w:tr>
          </w:tbl>
          <w:p w:rsidR="00067760" w:rsidRDefault="00067760">
            <w:pPr>
              <w:spacing w:line="276" w:lineRule="auto"/>
              <w:jc w:val="both"/>
              <w:rPr>
                <w:rFonts w:ascii="Calibri" w:hAnsi="Calibri"/>
                <w:b/>
                <w:bCs/>
                <w:sz w:val="20"/>
                <w:szCs w:val="20"/>
                <w:lang w:val="en-GB" w:eastAsia="en-US"/>
              </w:rPr>
            </w:pPr>
            <w:r>
              <w:rPr>
                <w:rFonts w:ascii="Calibri" w:hAnsi="Calibri"/>
                <w:b/>
                <w:bCs/>
                <w:sz w:val="20"/>
                <w:szCs w:val="20"/>
                <w:lang w:val="en-GB" w:eastAsia="en-US"/>
              </w:rPr>
              <w:t>Fiscal Committee</w:t>
            </w:r>
          </w:p>
          <w:p w:rsidR="00067760" w:rsidRDefault="00067760">
            <w:pPr>
              <w:shd w:val="clear" w:color="auto" w:fill="FEFEFE"/>
              <w:spacing w:line="276" w:lineRule="auto"/>
              <w:ind w:right="2925"/>
              <w:jc w:val="both"/>
              <w:rPr>
                <w:rFonts w:ascii="Calibri" w:hAnsi="Calibri"/>
                <w:b/>
                <w:bCs/>
                <w:color w:val="000000"/>
                <w:sz w:val="20"/>
                <w:szCs w:val="20"/>
                <w:lang w:val="en" w:eastAsia="en-US"/>
              </w:rPr>
            </w:pPr>
            <w:r>
              <w:rPr>
                <w:rFonts w:ascii="Calibri" w:hAnsi="Calibri"/>
                <w:b/>
                <w:bCs/>
                <w:color w:val="000000"/>
                <w:sz w:val="20"/>
                <w:szCs w:val="20"/>
                <w:lang w:val="en" w:eastAsia="en-US"/>
              </w:rPr>
              <w:t xml:space="preserve">                                                                                                                                                    </w:t>
            </w:r>
          </w:p>
          <w:p w:rsidR="00067760" w:rsidRDefault="00067760">
            <w:pPr>
              <w:shd w:val="clear" w:color="auto" w:fill="FEFEFE"/>
              <w:spacing w:line="276" w:lineRule="auto"/>
              <w:ind w:left="7371"/>
              <w:jc w:val="both"/>
              <w:rPr>
                <w:rFonts w:ascii="Calibri" w:hAnsi="Calibri"/>
                <w:b/>
                <w:bCs/>
                <w:color w:val="000000"/>
                <w:sz w:val="20"/>
                <w:szCs w:val="20"/>
                <w:lang w:val="en" w:eastAsia="en-US"/>
              </w:rPr>
            </w:pPr>
            <w:r>
              <w:rPr>
                <w:rFonts w:ascii="Calibri" w:hAnsi="Calibri"/>
                <w:b/>
                <w:bCs/>
                <w:color w:val="000000"/>
                <w:sz w:val="20"/>
                <w:szCs w:val="20"/>
                <w:lang w:val="en" w:eastAsia="en-US"/>
              </w:rPr>
              <w:t>15 December 2014</w:t>
            </w:r>
          </w:p>
          <w:p w:rsidR="00067760" w:rsidRDefault="00067760">
            <w:pPr>
              <w:spacing w:line="276" w:lineRule="auto"/>
              <w:jc w:val="both"/>
              <w:rPr>
                <w:rFonts w:ascii="Calibri" w:hAnsi="Calibri"/>
                <w:sz w:val="20"/>
                <w:szCs w:val="20"/>
                <w:lang w:val="en" w:eastAsia="en-US"/>
              </w:rPr>
            </w:pPr>
          </w:p>
          <w:p w:rsidR="00067760" w:rsidRDefault="00067760">
            <w:pPr>
              <w:spacing w:line="276" w:lineRule="auto"/>
              <w:jc w:val="both"/>
              <w:rPr>
                <w:rFonts w:ascii="Calibri" w:hAnsi="Calibri"/>
                <w:sz w:val="20"/>
                <w:szCs w:val="20"/>
                <w:lang w:val="en" w:eastAsia="en-US"/>
              </w:rPr>
            </w:pPr>
          </w:p>
          <w:p w:rsidR="00067760" w:rsidRDefault="00067760">
            <w:pPr>
              <w:pStyle w:val="Lijstalinea"/>
              <w:spacing w:line="276" w:lineRule="auto"/>
              <w:ind w:hanging="360"/>
              <w:rPr>
                <w:b/>
                <w:bCs/>
                <w:sz w:val="20"/>
                <w:szCs w:val="20"/>
                <w:lang w:val="en-GB" w:eastAsia="en-US"/>
              </w:rPr>
            </w:pPr>
            <w:r>
              <w:rPr>
                <w:b/>
                <w:bCs/>
                <w:sz w:val="20"/>
                <w:szCs w:val="20"/>
                <w:lang w:val="en-GB" w:eastAsia="en-US"/>
              </w:rPr>
              <w:t>1.</w:t>
            </w:r>
            <w:r>
              <w:rPr>
                <w:rFonts w:ascii="Times New Roman" w:hAnsi="Times New Roman"/>
                <w:b/>
                <w:bCs/>
                <w:sz w:val="14"/>
                <w:szCs w:val="14"/>
                <w:lang w:val="en-GB" w:eastAsia="en-US"/>
              </w:rPr>
              <w:t xml:space="preserve">       </w:t>
            </w:r>
            <w:r>
              <w:rPr>
                <w:b/>
                <w:bCs/>
                <w:sz w:val="20"/>
                <w:szCs w:val="20"/>
                <w:lang w:val="en-GB" w:eastAsia="en-US"/>
              </w:rPr>
              <w:t>Council adopts minimum GAAR in Parent-Subsidiary Directive</w:t>
            </w:r>
          </w:p>
          <w:p w:rsidR="00067760" w:rsidRDefault="00067760">
            <w:pPr>
              <w:pStyle w:val="Lijstalinea"/>
              <w:spacing w:line="276" w:lineRule="auto"/>
              <w:rPr>
                <w:sz w:val="20"/>
                <w:szCs w:val="20"/>
                <w:lang w:val="en-GB" w:eastAsia="en-US"/>
              </w:rPr>
            </w:pPr>
            <w:r>
              <w:rPr>
                <w:sz w:val="20"/>
                <w:szCs w:val="20"/>
                <w:lang w:val="en-GB" w:eastAsia="en-US"/>
              </w:rPr>
              <w:t xml:space="preserve">               </w:t>
            </w:r>
          </w:p>
          <w:p w:rsidR="00067760" w:rsidRDefault="00067760">
            <w:pPr>
              <w:pStyle w:val="Lijstalinea"/>
              <w:spacing w:line="276" w:lineRule="auto"/>
              <w:ind w:left="426"/>
              <w:rPr>
                <w:sz w:val="20"/>
                <w:szCs w:val="20"/>
                <w:lang w:val="en-GB" w:eastAsia="en-US"/>
              </w:rPr>
            </w:pPr>
            <w:r>
              <w:rPr>
                <w:sz w:val="20"/>
                <w:szCs w:val="20"/>
                <w:lang w:val="en-GB" w:eastAsia="en-US"/>
              </w:rPr>
              <w:t xml:space="preserve">The EU </w:t>
            </w:r>
            <w:proofErr w:type="spellStart"/>
            <w:r>
              <w:rPr>
                <w:sz w:val="20"/>
                <w:szCs w:val="20"/>
                <w:lang w:val="en-GB" w:eastAsia="en-US"/>
              </w:rPr>
              <w:t>Ecofin</w:t>
            </w:r>
            <w:proofErr w:type="spellEnd"/>
            <w:r>
              <w:rPr>
                <w:sz w:val="20"/>
                <w:szCs w:val="20"/>
                <w:lang w:val="en-GB" w:eastAsia="en-US"/>
              </w:rPr>
              <w:t xml:space="preserve"> Council adopted on 9 December 2014 a common general anti abuse rule (GAAR) in the EU Parent-Subsidiary Directive which has been designed as minimum harmonisation, allowing member states to leave or put in place stricter anti-abuse laws.</w:t>
            </w:r>
          </w:p>
          <w:p w:rsidR="00067760" w:rsidRDefault="00067760">
            <w:pPr>
              <w:pStyle w:val="Lijstalinea"/>
              <w:spacing w:line="276" w:lineRule="auto"/>
              <w:ind w:left="426"/>
              <w:rPr>
                <w:sz w:val="20"/>
                <w:szCs w:val="20"/>
                <w:lang w:val="en-GB" w:eastAsia="en-US"/>
              </w:rPr>
            </w:pPr>
          </w:p>
          <w:p w:rsidR="00067760" w:rsidRDefault="00067760">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hyperlink r:id="rId7" w:history="1">
              <w:r>
                <w:rPr>
                  <w:rStyle w:val="Hyperlink"/>
                  <w:sz w:val="20"/>
                  <w:szCs w:val="20"/>
                  <w:lang w:eastAsia="en-US"/>
                </w:rPr>
                <w:t xml:space="preserve">GAAR </w:t>
              </w:r>
              <w:proofErr w:type="spellStart"/>
              <w:r>
                <w:rPr>
                  <w:rStyle w:val="Hyperlink"/>
                  <w:sz w:val="20"/>
                  <w:szCs w:val="20"/>
                  <w:lang w:eastAsia="en-US"/>
                </w:rPr>
                <w:t>press</w:t>
              </w:r>
              <w:proofErr w:type="spellEnd"/>
              <w:r>
                <w:rPr>
                  <w:rStyle w:val="Hyperlink"/>
                  <w:sz w:val="20"/>
                  <w:szCs w:val="20"/>
                  <w:lang w:eastAsia="en-US"/>
                </w:rPr>
                <w:t xml:space="preserve"> release, 9 December 2014</w:t>
              </w:r>
            </w:hyperlink>
          </w:p>
          <w:p w:rsidR="00067760" w:rsidRDefault="00067760">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hyperlink r:id="rId8" w:history="1">
              <w:proofErr w:type="spellStart"/>
              <w:r>
                <w:rPr>
                  <w:rStyle w:val="Hyperlink"/>
                  <w:sz w:val="20"/>
                  <w:szCs w:val="20"/>
                  <w:lang w:eastAsia="en-US"/>
                </w:rPr>
                <w:t>Text</w:t>
              </w:r>
              <w:proofErr w:type="spellEnd"/>
              <w:r>
                <w:rPr>
                  <w:rStyle w:val="Hyperlink"/>
                  <w:sz w:val="20"/>
                  <w:szCs w:val="20"/>
                  <w:lang w:eastAsia="en-US"/>
                </w:rPr>
                <w:t xml:space="preserve"> </w:t>
              </w:r>
              <w:proofErr w:type="spellStart"/>
              <w:r>
                <w:rPr>
                  <w:rStyle w:val="Hyperlink"/>
                  <w:sz w:val="20"/>
                  <w:szCs w:val="20"/>
                  <w:lang w:eastAsia="en-US"/>
                </w:rPr>
                <w:t>adopted</w:t>
              </w:r>
              <w:proofErr w:type="spellEnd"/>
            </w:hyperlink>
          </w:p>
          <w:p w:rsidR="00067760" w:rsidRDefault="00067760">
            <w:pPr>
              <w:pStyle w:val="Lijstalinea"/>
              <w:spacing w:line="276" w:lineRule="auto"/>
              <w:jc w:val="both"/>
              <w:rPr>
                <w:sz w:val="20"/>
                <w:szCs w:val="20"/>
                <w:lang w:val="en-GB" w:eastAsia="en-US"/>
              </w:rPr>
            </w:pPr>
          </w:p>
          <w:p w:rsidR="00067760" w:rsidRDefault="00067760">
            <w:pPr>
              <w:pStyle w:val="Lijstalinea"/>
              <w:spacing w:line="276" w:lineRule="auto"/>
              <w:jc w:val="both"/>
              <w:rPr>
                <w:sz w:val="20"/>
                <w:szCs w:val="20"/>
                <w:lang w:val="en-GB" w:eastAsia="en-US"/>
              </w:rPr>
            </w:pPr>
          </w:p>
          <w:p w:rsidR="00067760" w:rsidRDefault="00067760">
            <w:pPr>
              <w:pStyle w:val="Lijstalinea"/>
              <w:spacing w:line="276" w:lineRule="auto"/>
              <w:ind w:hanging="360"/>
              <w:jc w:val="both"/>
              <w:rPr>
                <w:b/>
                <w:bCs/>
                <w:sz w:val="20"/>
                <w:szCs w:val="20"/>
                <w:lang w:val="en-GB" w:eastAsia="en-US"/>
              </w:rPr>
            </w:pPr>
            <w:r>
              <w:rPr>
                <w:b/>
                <w:bCs/>
                <w:sz w:val="20"/>
                <w:szCs w:val="20"/>
                <w:lang w:val="en-GB" w:eastAsia="en-US"/>
              </w:rPr>
              <w:t>2.</w:t>
            </w:r>
            <w:r>
              <w:rPr>
                <w:rFonts w:ascii="Times New Roman" w:hAnsi="Times New Roman"/>
                <w:b/>
                <w:bCs/>
                <w:sz w:val="14"/>
                <w:szCs w:val="14"/>
                <w:lang w:val="en-GB" w:eastAsia="en-US"/>
              </w:rPr>
              <w:t xml:space="preserve">       </w:t>
            </w:r>
            <w:r>
              <w:rPr>
                <w:b/>
                <w:bCs/>
                <w:sz w:val="20"/>
                <w:szCs w:val="20"/>
                <w:lang w:val="en-GB" w:eastAsia="en-US"/>
              </w:rPr>
              <w:t>Council includes OECD automatic information exchange criteria in EU Directive</w:t>
            </w:r>
          </w:p>
          <w:p w:rsidR="00067760" w:rsidRDefault="00067760">
            <w:pPr>
              <w:pStyle w:val="Lijstalinea"/>
              <w:spacing w:line="276" w:lineRule="auto"/>
              <w:jc w:val="both"/>
              <w:rPr>
                <w:b/>
                <w:bCs/>
                <w:sz w:val="20"/>
                <w:szCs w:val="20"/>
                <w:lang w:val="en-GB" w:eastAsia="en-US"/>
              </w:rPr>
            </w:pPr>
          </w:p>
          <w:p w:rsidR="00067760" w:rsidRDefault="00067760">
            <w:pPr>
              <w:pStyle w:val="Lijstalinea"/>
              <w:spacing w:line="276" w:lineRule="auto"/>
              <w:ind w:left="426"/>
              <w:jc w:val="both"/>
              <w:rPr>
                <w:sz w:val="20"/>
                <w:szCs w:val="20"/>
                <w:lang w:val="en-GB" w:eastAsia="en-US"/>
              </w:rPr>
            </w:pPr>
            <w:r>
              <w:rPr>
                <w:sz w:val="20"/>
                <w:szCs w:val="20"/>
                <w:lang w:val="en-GB" w:eastAsia="en-US"/>
              </w:rPr>
              <w:t xml:space="preserve">At the same meeting, the EU </w:t>
            </w:r>
            <w:proofErr w:type="spellStart"/>
            <w:r>
              <w:rPr>
                <w:sz w:val="20"/>
                <w:szCs w:val="20"/>
                <w:lang w:val="en-GB" w:eastAsia="en-US"/>
              </w:rPr>
              <w:t>Ecofin</w:t>
            </w:r>
            <w:proofErr w:type="spellEnd"/>
            <w:r>
              <w:rPr>
                <w:sz w:val="20"/>
                <w:szCs w:val="20"/>
                <w:lang w:val="en-GB" w:eastAsia="en-US"/>
              </w:rPr>
              <w:t xml:space="preserve"> Council adopted an amendment to the EU Directive on Administrative Cooperation in Direct Taxes to match the Directive with the OECD “global” standard for automatic exchange of information. The first information exchange according to the new rules is due to take place by the end of September 2017. Austria has been granted a delay of one year but the country has declared that it does not intend to make use of this derogation.</w:t>
            </w:r>
          </w:p>
          <w:p w:rsidR="00067760" w:rsidRDefault="00067760">
            <w:pPr>
              <w:pStyle w:val="Lijstalinea"/>
              <w:spacing w:line="276" w:lineRule="auto"/>
              <w:jc w:val="both"/>
              <w:rPr>
                <w:sz w:val="20"/>
                <w:szCs w:val="20"/>
                <w:lang w:val="en-GB" w:eastAsia="en-US"/>
              </w:rPr>
            </w:pPr>
          </w:p>
          <w:p w:rsidR="00067760" w:rsidRDefault="00067760">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hyperlink r:id="rId9" w:history="1">
              <w:r>
                <w:rPr>
                  <w:rStyle w:val="Hyperlink"/>
                  <w:sz w:val="20"/>
                  <w:szCs w:val="20"/>
                  <w:lang w:val="en-GB" w:eastAsia="en-US"/>
                </w:rPr>
                <w:t>Automatic information exchange press release, 9 December 2014</w:t>
              </w:r>
            </w:hyperlink>
          </w:p>
          <w:p w:rsidR="00067760" w:rsidRDefault="00067760">
            <w:pPr>
              <w:pStyle w:val="Lijstalinea"/>
              <w:spacing w:line="276" w:lineRule="auto"/>
              <w:ind w:hanging="360"/>
              <w:jc w:val="both"/>
              <w:rPr>
                <w:sz w:val="20"/>
                <w:szCs w:val="20"/>
                <w:lang w:val="en-GB" w:eastAsia="en-US"/>
              </w:rPr>
            </w:pPr>
            <w:r>
              <w:rPr>
                <w:sz w:val="20"/>
                <w:szCs w:val="20"/>
                <w:lang w:val="en-GB" w:eastAsia="en-US"/>
              </w:rPr>
              <w:t>-</w:t>
            </w:r>
            <w:r>
              <w:rPr>
                <w:rFonts w:ascii="Times New Roman" w:hAnsi="Times New Roman"/>
                <w:sz w:val="14"/>
                <w:szCs w:val="14"/>
                <w:lang w:val="en-GB" w:eastAsia="en-US"/>
              </w:rPr>
              <w:t xml:space="preserve">          </w:t>
            </w:r>
            <w:hyperlink r:id="rId10" w:history="1">
              <w:r>
                <w:rPr>
                  <w:rStyle w:val="Hyperlink"/>
                  <w:sz w:val="20"/>
                  <w:szCs w:val="20"/>
                  <w:lang w:val="en-GB" w:eastAsia="en-US"/>
                </w:rPr>
                <w:t>Text adopted</w:t>
              </w:r>
            </w:hyperlink>
          </w:p>
          <w:p w:rsidR="00067760" w:rsidRDefault="00067760">
            <w:pPr>
              <w:pStyle w:val="Lijstalinea"/>
              <w:spacing w:line="276" w:lineRule="auto"/>
              <w:jc w:val="both"/>
              <w:rPr>
                <w:sz w:val="20"/>
                <w:szCs w:val="20"/>
                <w:lang w:val="en-GB" w:eastAsia="en-US"/>
              </w:rPr>
            </w:pPr>
          </w:p>
          <w:p w:rsidR="00067760" w:rsidRDefault="00067760">
            <w:pPr>
              <w:pStyle w:val="Lijstalinea"/>
              <w:spacing w:line="276" w:lineRule="auto"/>
              <w:jc w:val="both"/>
              <w:rPr>
                <w:b/>
                <w:bCs/>
                <w:sz w:val="20"/>
                <w:szCs w:val="20"/>
                <w:lang w:val="en-GB" w:eastAsia="en-US"/>
              </w:rPr>
            </w:pPr>
          </w:p>
          <w:p w:rsidR="00067760" w:rsidRDefault="00067760">
            <w:pPr>
              <w:pStyle w:val="Lijstalinea"/>
              <w:spacing w:line="276" w:lineRule="auto"/>
              <w:ind w:hanging="360"/>
              <w:jc w:val="both"/>
              <w:rPr>
                <w:b/>
                <w:bCs/>
                <w:sz w:val="20"/>
                <w:szCs w:val="20"/>
                <w:lang w:val="en-GB" w:eastAsia="en-US"/>
              </w:rPr>
            </w:pPr>
            <w:r>
              <w:rPr>
                <w:b/>
                <w:bCs/>
                <w:sz w:val="20"/>
                <w:szCs w:val="20"/>
                <w:lang w:val="en-GB" w:eastAsia="en-US"/>
              </w:rPr>
              <w:t>3.</w:t>
            </w:r>
            <w:r>
              <w:rPr>
                <w:rFonts w:ascii="Times New Roman" w:hAnsi="Times New Roman"/>
                <w:b/>
                <w:bCs/>
                <w:sz w:val="14"/>
                <w:szCs w:val="14"/>
                <w:lang w:val="en-GB" w:eastAsia="en-US"/>
              </w:rPr>
              <w:t xml:space="preserve">       </w:t>
            </w:r>
            <w:proofErr w:type="spellStart"/>
            <w:r>
              <w:rPr>
                <w:b/>
                <w:bCs/>
                <w:sz w:val="20"/>
                <w:szCs w:val="20"/>
                <w:lang w:val="en-GB" w:eastAsia="en-US"/>
              </w:rPr>
              <w:t>Juncker</w:t>
            </w:r>
            <w:proofErr w:type="spellEnd"/>
            <w:r>
              <w:rPr>
                <w:b/>
                <w:bCs/>
                <w:sz w:val="20"/>
                <w:szCs w:val="20"/>
                <w:lang w:val="en-GB" w:eastAsia="en-US"/>
              </w:rPr>
              <w:t>: Proposal to require companies to disclose their tax strategy and automatic exchange of information on tax rulings would not need unanimity</w:t>
            </w:r>
          </w:p>
          <w:p w:rsidR="00067760" w:rsidRDefault="00067760">
            <w:pPr>
              <w:spacing w:line="276" w:lineRule="auto"/>
              <w:jc w:val="both"/>
              <w:rPr>
                <w:rFonts w:ascii="Calibri" w:hAnsi="Calibri"/>
                <w:sz w:val="20"/>
                <w:szCs w:val="20"/>
                <w:lang w:val="en-GB" w:eastAsia="en-US"/>
              </w:rPr>
            </w:pPr>
          </w:p>
          <w:p w:rsidR="00067760" w:rsidRDefault="00067760">
            <w:pPr>
              <w:spacing w:line="276" w:lineRule="auto"/>
              <w:ind w:left="426" w:right="141"/>
              <w:jc w:val="both"/>
              <w:rPr>
                <w:rFonts w:ascii="Calibri" w:hAnsi="Calibri"/>
                <w:sz w:val="20"/>
                <w:szCs w:val="20"/>
                <w:lang w:val="en-GB" w:eastAsia="en-US"/>
              </w:rPr>
            </w:pPr>
            <w:r>
              <w:rPr>
                <w:rFonts w:ascii="Calibri" w:hAnsi="Calibri"/>
                <w:sz w:val="20"/>
                <w:szCs w:val="20"/>
                <w:lang w:val="en-US" w:eastAsia="en-US"/>
              </w:rPr>
              <w:t xml:space="preserve">In an interview with the German daily newspaper Frankfurter </w:t>
            </w:r>
            <w:proofErr w:type="spellStart"/>
            <w:r>
              <w:rPr>
                <w:rFonts w:ascii="Calibri" w:hAnsi="Calibri"/>
                <w:sz w:val="20"/>
                <w:szCs w:val="20"/>
                <w:lang w:val="en-US" w:eastAsia="en-US"/>
              </w:rPr>
              <w:t>Allgemeine</w:t>
            </w:r>
            <w:proofErr w:type="spellEnd"/>
            <w:r>
              <w:rPr>
                <w:rFonts w:ascii="Calibri" w:hAnsi="Calibri"/>
                <w:sz w:val="20"/>
                <w:szCs w:val="20"/>
                <w:lang w:val="en-US" w:eastAsia="en-US"/>
              </w:rPr>
              <w:t xml:space="preserve"> </w:t>
            </w:r>
            <w:proofErr w:type="spellStart"/>
            <w:r>
              <w:rPr>
                <w:rFonts w:ascii="Calibri" w:hAnsi="Calibri"/>
                <w:sz w:val="20"/>
                <w:szCs w:val="20"/>
                <w:lang w:val="en-US" w:eastAsia="en-US"/>
              </w:rPr>
              <w:t>Zeitung</w:t>
            </w:r>
            <w:proofErr w:type="spellEnd"/>
            <w:r>
              <w:rPr>
                <w:rFonts w:ascii="Calibri" w:hAnsi="Calibri"/>
                <w:sz w:val="20"/>
                <w:szCs w:val="20"/>
                <w:lang w:val="en-US" w:eastAsia="en-US"/>
              </w:rPr>
              <w:t xml:space="preserve">, European Commission president Jean-Claude </w:t>
            </w:r>
            <w:proofErr w:type="spellStart"/>
            <w:r>
              <w:rPr>
                <w:rFonts w:ascii="Calibri" w:hAnsi="Calibri"/>
                <w:sz w:val="20"/>
                <w:szCs w:val="20"/>
                <w:lang w:val="en-US" w:eastAsia="en-US"/>
              </w:rPr>
              <w:t>Juncker</w:t>
            </w:r>
            <w:proofErr w:type="spellEnd"/>
            <w:r>
              <w:rPr>
                <w:rFonts w:ascii="Calibri" w:hAnsi="Calibri"/>
                <w:sz w:val="20"/>
                <w:szCs w:val="20"/>
                <w:lang w:val="en-US" w:eastAsia="en-US"/>
              </w:rPr>
              <w:t xml:space="preserve"> expressed his view that the planned automatic exchange of information on international tax rulings could possibly be introduced without unanimity voting in the EU Council, stating that the planned rules concern administrative cooperation, where EU legislation can be passed with a qualified majority of member states (and the European Parliament on an equal footing), instead of unanimity which is required for tax legislation. </w:t>
            </w:r>
            <w:proofErr w:type="spellStart"/>
            <w:r>
              <w:rPr>
                <w:rFonts w:ascii="Calibri" w:hAnsi="Calibri"/>
                <w:sz w:val="20"/>
                <w:szCs w:val="20"/>
                <w:lang w:val="en-US" w:eastAsia="en-US"/>
              </w:rPr>
              <w:t>Juncker</w:t>
            </w:r>
            <w:proofErr w:type="spellEnd"/>
            <w:r>
              <w:rPr>
                <w:rFonts w:ascii="Calibri" w:hAnsi="Calibri"/>
                <w:sz w:val="20"/>
                <w:szCs w:val="20"/>
                <w:lang w:val="en-US" w:eastAsia="en-US"/>
              </w:rPr>
              <w:t xml:space="preserve"> also said that the proposal would not be limited to exchange of rulings but could also concern rules requiring companies to disclose their tax strategy. The proposal should be presented by summer 2015.</w:t>
            </w:r>
          </w:p>
          <w:p w:rsidR="00067760" w:rsidRDefault="00067760">
            <w:pPr>
              <w:spacing w:line="276" w:lineRule="auto"/>
              <w:jc w:val="both"/>
              <w:rPr>
                <w:rFonts w:ascii="Calibri" w:hAnsi="Calibri"/>
                <w:sz w:val="20"/>
                <w:szCs w:val="20"/>
                <w:lang w:val="en-GB" w:eastAsia="en-US"/>
              </w:rPr>
            </w:pPr>
          </w:p>
          <w:p w:rsidR="00067760" w:rsidRDefault="00067760">
            <w:pPr>
              <w:pStyle w:val="Lijstalinea"/>
              <w:spacing w:line="276" w:lineRule="auto"/>
              <w:ind w:hanging="360"/>
              <w:jc w:val="both"/>
              <w:rPr>
                <w:sz w:val="20"/>
                <w:szCs w:val="20"/>
                <w:lang w:eastAsia="en-US"/>
              </w:rPr>
            </w:pPr>
            <w:r>
              <w:rPr>
                <w:sz w:val="20"/>
                <w:szCs w:val="20"/>
                <w:lang w:eastAsia="en-US"/>
              </w:rPr>
              <w:t>-</w:t>
            </w:r>
            <w:r>
              <w:rPr>
                <w:rFonts w:ascii="Times New Roman" w:hAnsi="Times New Roman"/>
                <w:sz w:val="14"/>
                <w:szCs w:val="14"/>
                <w:lang w:eastAsia="en-US"/>
              </w:rPr>
              <w:t xml:space="preserve">          </w:t>
            </w:r>
            <w:hyperlink r:id="rId11" w:history="1">
              <w:r>
                <w:rPr>
                  <w:rStyle w:val="Hyperlink"/>
                  <w:sz w:val="20"/>
                  <w:szCs w:val="20"/>
                  <w:lang w:eastAsia="en-US"/>
                </w:rPr>
                <w:t xml:space="preserve">EU </w:t>
              </w:r>
              <w:proofErr w:type="spellStart"/>
              <w:r>
                <w:rPr>
                  <w:rStyle w:val="Hyperlink"/>
                  <w:sz w:val="20"/>
                  <w:szCs w:val="20"/>
                  <w:lang w:eastAsia="en-US"/>
                </w:rPr>
                <w:t>Observer</w:t>
              </w:r>
              <w:proofErr w:type="spellEnd"/>
              <w:r>
                <w:rPr>
                  <w:rStyle w:val="Hyperlink"/>
                  <w:sz w:val="20"/>
                  <w:szCs w:val="20"/>
                  <w:lang w:eastAsia="en-US"/>
                </w:rPr>
                <w:t xml:space="preserve"> </w:t>
              </w:r>
              <w:proofErr w:type="spellStart"/>
              <w:r>
                <w:rPr>
                  <w:rStyle w:val="Hyperlink"/>
                  <w:sz w:val="20"/>
                  <w:szCs w:val="20"/>
                  <w:lang w:eastAsia="en-US"/>
                </w:rPr>
                <w:t>article</w:t>
              </w:r>
              <w:proofErr w:type="spellEnd"/>
            </w:hyperlink>
            <w:r>
              <w:rPr>
                <w:sz w:val="20"/>
                <w:szCs w:val="20"/>
                <w:lang w:eastAsia="en-US"/>
              </w:rPr>
              <w:t xml:space="preserve"> (EN), 10 December 2014</w:t>
            </w:r>
          </w:p>
          <w:p w:rsidR="00067760" w:rsidRDefault="00067760">
            <w:pPr>
              <w:pStyle w:val="Lijstalinea"/>
              <w:spacing w:line="276" w:lineRule="auto"/>
              <w:ind w:hanging="360"/>
              <w:jc w:val="both"/>
              <w:rPr>
                <w:sz w:val="20"/>
                <w:szCs w:val="20"/>
                <w:lang w:val="en-GB" w:eastAsia="en-US"/>
              </w:rPr>
            </w:pPr>
            <w:r>
              <w:rPr>
                <w:sz w:val="20"/>
                <w:szCs w:val="20"/>
                <w:lang w:val="en-GB" w:eastAsia="en-US"/>
              </w:rPr>
              <w:lastRenderedPageBreak/>
              <w:t>-</w:t>
            </w:r>
            <w:r>
              <w:rPr>
                <w:rFonts w:ascii="Times New Roman" w:hAnsi="Times New Roman"/>
                <w:sz w:val="14"/>
                <w:szCs w:val="14"/>
                <w:lang w:val="en-GB" w:eastAsia="en-US"/>
              </w:rPr>
              <w:t xml:space="preserve">          </w:t>
            </w:r>
            <w:hyperlink r:id="rId12" w:history="1">
              <w:r>
                <w:rPr>
                  <w:rStyle w:val="Hyperlink"/>
                  <w:sz w:val="20"/>
                  <w:szCs w:val="20"/>
                  <w:lang w:val="en-GB" w:eastAsia="en-US"/>
                </w:rPr>
                <w:t xml:space="preserve">Frankfurter </w:t>
              </w:r>
              <w:proofErr w:type="spellStart"/>
              <w:r>
                <w:rPr>
                  <w:rStyle w:val="Hyperlink"/>
                  <w:sz w:val="20"/>
                  <w:szCs w:val="20"/>
                  <w:lang w:val="en-GB" w:eastAsia="en-US"/>
                </w:rPr>
                <w:t>Allgemeine</w:t>
              </w:r>
              <w:proofErr w:type="spellEnd"/>
              <w:r>
                <w:rPr>
                  <w:rStyle w:val="Hyperlink"/>
                  <w:sz w:val="20"/>
                  <w:szCs w:val="20"/>
                  <w:lang w:val="en-GB" w:eastAsia="en-US"/>
                </w:rPr>
                <w:t xml:space="preserve"> interview with Jean-Claude </w:t>
              </w:r>
              <w:proofErr w:type="spellStart"/>
              <w:r>
                <w:rPr>
                  <w:rStyle w:val="Hyperlink"/>
                  <w:sz w:val="20"/>
                  <w:szCs w:val="20"/>
                  <w:lang w:val="en-GB" w:eastAsia="en-US"/>
                </w:rPr>
                <w:t>Juncker</w:t>
              </w:r>
              <w:proofErr w:type="spellEnd"/>
            </w:hyperlink>
            <w:r>
              <w:rPr>
                <w:sz w:val="20"/>
                <w:szCs w:val="20"/>
                <w:lang w:val="en-GB" w:eastAsia="en-US"/>
              </w:rPr>
              <w:t xml:space="preserve"> (DE), 9 December 2014</w:t>
            </w:r>
          </w:p>
          <w:p w:rsidR="00067760" w:rsidRDefault="00067760">
            <w:pPr>
              <w:spacing w:line="276" w:lineRule="auto"/>
              <w:rPr>
                <w:rFonts w:ascii="Calibri" w:hAnsi="Calibri"/>
                <w:sz w:val="20"/>
                <w:szCs w:val="20"/>
                <w:lang w:val="en-GB" w:eastAsia="en-US"/>
              </w:rPr>
            </w:pPr>
          </w:p>
          <w:p w:rsidR="00067760" w:rsidRDefault="00067760">
            <w:pPr>
              <w:spacing w:line="276" w:lineRule="auto"/>
              <w:rPr>
                <w:rFonts w:ascii="Calibri" w:hAnsi="Calibri"/>
                <w:sz w:val="20"/>
                <w:szCs w:val="20"/>
                <w:lang w:val="en-GB" w:eastAsia="en-US"/>
              </w:rPr>
            </w:pPr>
          </w:p>
          <w:p w:rsidR="00067760" w:rsidRDefault="00067760">
            <w:pPr>
              <w:pStyle w:val="Lijstalinea"/>
              <w:spacing w:line="276" w:lineRule="auto"/>
              <w:ind w:hanging="360"/>
              <w:rPr>
                <w:sz w:val="20"/>
                <w:szCs w:val="20"/>
                <w:lang w:val="en-GB" w:eastAsia="en-US"/>
              </w:rPr>
            </w:pPr>
            <w:r>
              <w:rPr>
                <w:b/>
                <w:bCs/>
                <w:sz w:val="20"/>
                <w:szCs w:val="20"/>
                <w:lang w:val="en-GB" w:eastAsia="en-US"/>
              </w:rPr>
              <w:t>4.</w:t>
            </w:r>
            <w:r>
              <w:rPr>
                <w:rFonts w:ascii="Times New Roman" w:hAnsi="Times New Roman"/>
                <w:b/>
                <w:bCs/>
                <w:sz w:val="14"/>
                <w:szCs w:val="14"/>
                <w:lang w:val="en-GB" w:eastAsia="en-US"/>
              </w:rPr>
              <w:t xml:space="preserve">       </w:t>
            </w:r>
            <w:r>
              <w:rPr>
                <w:b/>
                <w:bCs/>
                <w:sz w:val="20"/>
                <w:szCs w:val="20"/>
                <w:lang w:val="en-GB" w:eastAsia="en-US"/>
              </w:rPr>
              <w:t>New “Lux leaked” tax rulings published</w:t>
            </w:r>
          </w:p>
          <w:p w:rsidR="00067760" w:rsidRDefault="00067760">
            <w:pPr>
              <w:spacing w:line="276" w:lineRule="auto"/>
              <w:ind w:left="720"/>
              <w:rPr>
                <w:rFonts w:ascii="Calibri" w:hAnsi="Calibri"/>
                <w:sz w:val="20"/>
                <w:szCs w:val="20"/>
                <w:lang w:val="en-GB" w:eastAsia="en-US"/>
              </w:rPr>
            </w:pPr>
          </w:p>
          <w:p w:rsidR="00067760" w:rsidRDefault="00067760">
            <w:pPr>
              <w:spacing w:line="276" w:lineRule="auto"/>
              <w:ind w:left="360"/>
              <w:rPr>
                <w:rFonts w:ascii="Calibri" w:hAnsi="Calibri"/>
                <w:sz w:val="20"/>
                <w:szCs w:val="20"/>
                <w:lang w:val="en-GB" w:eastAsia="en-US"/>
              </w:rPr>
            </w:pPr>
            <w:r>
              <w:rPr>
                <w:rFonts w:ascii="Calibri" w:hAnsi="Calibri"/>
                <w:sz w:val="20"/>
                <w:szCs w:val="20"/>
                <w:lang w:val="en-US" w:eastAsia="en-US"/>
              </w:rPr>
              <w:t>On 9 December 2014, the International Consortium of Investigative Journalists published a new series of confidential tax rulings issued by the Luxembourg tax authorities between 2003 and 2011, concerning 35 multinational companies such as Microsoft-owned Skype and Walt Disney.</w:t>
            </w:r>
          </w:p>
          <w:p w:rsidR="00067760" w:rsidRDefault="00067760">
            <w:pPr>
              <w:spacing w:line="276" w:lineRule="auto"/>
              <w:ind w:left="360"/>
              <w:rPr>
                <w:rFonts w:ascii="Calibri" w:hAnsi="Calibri"/>
                <w:sz w:val="20"/>
                <w:szCs w:val="20"/>
                <w:lang w:val="en-GB" w:eastAsia="en-US"/>
              </w:rPr>
            </w:pPr>
          </w:p>
          <w:p w:rsidR="00067760" w:rsidRDefault="00067760">
            <w:pPr>
              <w:pStyle w:val="Lijstalinea"/>
              <w:spacing w:line="276" w:lineRule="auto"/>
              <w:ind w:hanging="360"/>
              <w:rPr>
                <w:rStyle w:val="Hyperlink"/>
                <w:lang w:val="en-US"/>
              </w:rPr>
            </w:pPr>
            <w:r>
              <w:rPr>
                <w:rStyle w:val="Hyperlink"/>
                <w:u w:val="none"/>
                <w:lang w:val="en-US"/>
              </w:rPr>
              <w:t>-</w:t>
            </w:r>
            <w:r>
              <w:rPr>
                <w:rStyle w:val="Hyperlink"/>
                <w:rFonts w:ascii="Times New Roman" w:hAnsi="Times New Roman"/>
                <w:sz w:val="14"/>
                <w:szCs w:val="14"/>
                <w:u w:val="none"/>
                <w:lang w:val="en-US"/>
              </w:rPr>
              <w:t xml:space="preserve">          </w:t>
            </w:r>
            <w:hyperlink r:id="rId13" w:history="1">
              <w:r>
                <w:rPr>
                  <w:rStyle w:val="Hyperlink"/>
                  <w:sz w:val="20"/>
                  <w:szCs w:val="20"/>
                  <w:lang w:val="en-GB" w:eastAsia="en-US"/>
                </w:rPr>
                <w:t>News release on ICIJ website (EN)</w:t>
              </w:r>
            </w:hyperlink>
          </w:p>
          <w:p w:rsidR="00067760" w:rsidRDefault="00067760">
            <w:pPr>
              <w:spacing w:line="276" w:lineRule="auto"/>
              <w:jc w:val="center"/>
            </w:pPr>
          </w:p>
          <w:p w:rsidR="00067760" w:rsidRDefault="00067760">
            <w:pPr>
              <w:pStyle w:val="Lijstalinea"/>
              <w:spacing w:line="276" w:lineRule="auto"/>
              <w:ind w:hanging="360"/>
              <w:rPr>
                <w:b/>
                <w:bCs/>
                <w:sz w:val="20"/>
                <w:szCs w:val="20"/>
                <w:lang w:val="en-GB" w:eastAsia="en-US"/>
              </w:rPr>
            </w:pPr>
            <w:r>
              <w:rPr>
                <w:b/>
                <w:bCs/>
                <w:sz w:val="20"/>
                <w:szCs w:val="20"/>
                <w:lang w:val="en-GB" w:eastAsia="en-US"/>
              </w:rPr>
              <w:t>5.</w:t>
            </w:r>
            <w:r>
              <w:rPr>
                <w:rFonts w:ascii="Times New Roman" w:hAnsi="Times New Roman"/>
                <w:b/>
                <w:bCs/>
                <w:sz w:val="14"/>
                <w:szCs w:val="14"/>
                <w:lang w:val="en-GB" w:eastAsia="en-US"/>
              </w:rPr>
              <w:t xml:space="preserve">       </w:t>
            </w:r>
            <w:r>
              <w:rPr>
                <w:b/>
                <w:bCs/>
                <w:sz w:val="20"/>
                <w:szCs w:val="20"/>
                <w:lang w:val="en-GB" w:eastAsia="en-US"/>
              </w:rPr>
              <w:t>Financial Transaction Tax progress report</w:t>
            </w:r>
          </w:p>
          <w:p w:rsidR="00067760" w:rsidRDefault="00067760">
            <w:pPr>
              <w:spacing w:line="276" w:lineRule="auto"/>
              <w:jc w:val="center"/>
              <w:rPr>
                <w:rFonts w:ascii="Calibri" w:hAnsi="Calibri"/>
                <w:sz w:val="20"/>
                <w:szCs w:val="20"/>
                <w:lang w:val="en-GB" w:eastAsia="en-US"/>
              </w:rPr>
            </w:pPr>
          </w:p>
          <w:p w:rsidR="00067760" w:rsidRDefault="00067760">
            <w:pPr>
              <w:spacing w:line="276" w:lineRule="auto"/>
              <w:ind w:left="426"/>
              <w:rPr>
                <w:rFonts w:ascii="Calibri" w:hAnsi="Calibri"/>
                <w:sz w:val="20"/>
                <w:szCs w:val="20"/>
                <w:lang w:val="en-GB" w:eastAsia="en-US"/>
              </w:rPr>
            </w:pPr>
            <w:r>
              <w:rPr>
                <w:rFonts w:ascii="Calibri" w:hAnsi="Calibri"/>
                <w:sz w:val="20"/>
                <w:szCs w:val="20"/>
                <w:lang w:val="en-GB" w:eastAsia="en-US"/>
              </w:rPr>
              <w:t>The Italian EU Council presidency published a report on the progress on the proposed Financial Transactions Tax (FTT) during its term. The member states participating in the enhanced cooperation agree that a FTT should be introduced progressively, with shares and some derivatives as a first step. While the EU FTT should be harmonised, participating member states should be left the possibility to continue taxing financial products not (yet) covered by the EU FTT. However, further key issues are still unresolved, such as the types of derivatives to be included as a first step, general taxation principles (residence and/or issuance) and the collection mechanism.</w:t>
            </w:r>
          </w:p>
          <w:p w:rsidR="00067760" w:rsidRDefault="00067760">
            <w:pPr>
              <w:spacing w:line="276" w:lineRule="auto"/>
              <w:ind w:left="426"/>
              <w:rPr>
                <w:rFonts w:ascii="Calibri" w:hAnsi="Calibri"/>
                <w:sz w:val="20"/>
                <w:szCs w:val="20"/>
                <w:lang w:val="en-GB" w:eastAsia="en-US"/>
              </w:rPr>
            </w:pPr>
          </w:p>
          <w:p w:rsidR="00067760" w:rsidRDefault="00067760">
            <w:pPr>
              <w:spacing w:line="276" w:lineRule="auto"/>
              <w:ind w:left="284"/>
              <w:rPr>
                <w:rStyle w:val="Hyperlink"/>
              </w:rPr>
            </w:pPr>
            <w:r>
              <w:rPr>
                <w:rStyle w:val="Hyperlink"/>
                <w:rFonts w:ascii="Calibri" w:hAnsi="Calibri"/>
                <w:u w:val="none"/>
              </w:rPr>
              <w:t>-</w:t>
            </w:r>
            <w:r>
              <w:rPr>
                <w:rStyle w:val="Hyperlink"/>
                <w:sz w:val="14"/>
                <w:szCs w:val="14"/>
                <w:u w:val="none"/>
              </w:rPr>
              <w:t xml:space="preserve">            </w:t>
            </w:r>
            <w:hyperlink r:id="rId14" w:history="1">
              <w:r>
                <w:rPr>
                  <w:rStyle w:val="Hyperlink"/>
                  <w:rFonts w:ascii="Calibri" w:hAnsi="Calibri"/>
                  <w:sz w:val="20"/>
                  <w:szCs w:val="20"/>
                  <w:lang w:val="en-GB" w:eastAsia="en-US"/>
                </w:rPr>
                <w:t>FTT progress report</w:t>
              </w:r>
            </w:hyperlink>
          </w:p>
          <w:p w:rsidR="00067760" w:rsidRDefault="00067760">
            <w:pPr>
              <w:pStyle w:val="Lijstalinea"/>
              <w:spacing w:line="276" w:lineRule="auto"/>
              <w:ind w:hanging="360"/>
            </w:pPr>
            <w:r>
              <w:t>-</w:t>
            </w:r>
            <w:r>
              <w:rPr>
                <w:rFonts w:ascii="Times New Roman" w:hAnsi="Times New Roman"/>
                <w:sz w:val="14"/>
                <w:szCs w:val="14"/>
              </w:rPr>
              <w:t xml:space="preserve">          </w:t>
            </w:r>
            <w:hyperlink r:id="rId15" w:history="1">
              <w:r>
                <w:rPr>
                  <w:rStyle w:val="Hyperlink"/>
                  <w:sz w:val="20"/>
                  <w:szCs w:val="20"/>
                  <w:lang w:val="en-GB" w:eastAsia="en-US"/>
                </w:rPr>
                <w:t>Press release (p.7)</w:t>
              </w:r>
            </w:hyperlink>
          </w:p>
          <w:p w:rsidR="00067760" w:rsidRDefault="00067760">
            <w:pPr>
              <w:spacing w:line="276" w:lineRule="auto"/>
              <w:jc w:val="center"/>
              <w:rPr>
                <w:rFonts w:ascii="Calibri" w:hAnsi="Calibri"/>
                <w:sz w:val="20"/>
                <w:szCs w:val="20"/>
                <w:lang w:val="en-GB" w:eastAsia="en-US"/>
              </w:rPr>
            </w:pPr>
          </w:p>
          <w:p w:rsidR="00067760" w:rsidRDefault="00067760">
            <w:pPr>
              <w:spacing w:line="276" w:lineRule="auto"/>
              <w:jc w:val="center"/>
              <w:rPr>
                <w:rFonts w:ascii="Calibri" w:hAnsi="Calibri"/>
                <w:sz w:val="20"/>
                <w:szCs w:val="20"/>
                <w:lang w:val="en-GB" w:eastAsia="en-US"/>
              </w:rPr>
            </w:pPr>
          </w:p>
          <w:p w:rsidR="00067760" w:rsidRDefault="00067760">
            <w:pPr>
              <w:spacing w:line="276" w:lineRule="auto"/>
              <w:jc w:val="center"/>
              <w:rPr>
                <w:rFonts w:ascii="Calibri" w:hAnsi="Calibri"/>
                <w:sz w:val="20"/>
                <w:szCs w:val="20"/>
                <w:lang w:val="en-GB" w:eastAsia="en-US"/>
              </w:rPr>
            </w:pPr>
            <w:r>
              <w:rPr>
                <w:rFonts w:ascii="Calibri" w:hAnsi="Calibri"/>
                <w:sz w:val="20"/>
                <w:szCs w:val="20"/>
                <w:lang w:val="en-GB" w:eastAsia="en-US"/>
              </w:rPr>
              <w:t>*****</w:t>
            </w:r>
          </w:p>
          <w:p w:rsidR="00067760" w:rsidRDefault="00067760">
            <w:pPr>
              <w:spacing w:line="276" w:lineRule="auto"/>
              <w:jc w:val="both"/>
              <w:rPr>
                <w:rFonts w:ascii="Calibri" w:hAnsi="Calibri"/>
                <w:sz w:val="20"/>
                <w:szCs w:val="20"/>
                <w:lang w:val="en-GB" w:eastAsia="en-US"/>
              </w:rPr>
            </w:pPr>
          </w:p>
          <w:p w:rsidR="00067760" w:rsidRDefault="00067760">
            <w:pPr>
              <w:pStyle w:val="Lijstalinea"/>
              <w:spacing w:line="276" w:lineRule="auto"/>
              <w:ind w:left="126"/>
              <w:jc w:val="center"/>
              <w:rPr>
                <w:i/>
                <w:iCs/>
                <w:sz w:val="20"/>
                <w:szCs w:val="20"/>
                <w:lang w:val="en-GB" w:eastAsia="en-US"/>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067760" w:rsidRDefault="00067760">
            <w:pPr>
              <w:pStyle w:val="Lijstalinea"/>
              <w:spacing w:line="276" w:lineRule="auto"/>
              <w:ind w:left="126"/>
              <w:jc w:val="center"/>
              <w:rPr>
                <w:i/>
                <w:iCs/>
                <w:sz w:val="20"/>
                <w:szCs w:val="20"/>
                <w:lang w:val="en-GB" w:eastAsia="en-US"/>
              </w:rPr>
            </w:pPr>
          </w:p>
          <w:p w:rsidR="00067760" w:rsidRDefault="00067760">
            <w:pPr>
              <w:pStyle w:val="Lijstalinea"/>
              <w:spacing w:line="276" w:lineRule="auto"/>
              <w:ind w:left="126"/>
              <w:jc w:val="center"/>
              <w:rPr>
                <w:rStyle w:val="Hyperlink"/>
                <w:lang w:val="en-US"/>
              </w:rPr>
            </w:pPr>
            <w:hyperlink r:id="rId16" w:history="1">
              <w:r>
                <w:rPr>
                  <w:rStyle w:val="Hyperlink"/>
                  <w:i/>
                  <w:iCs/>
                  <w:sz w:val="20"/>
                  <w:szCs w:val="20"/>
                  <w:lang w:val="en-GB" w:eastAsia="en-US"/>
                </w:rPr>
                <w:t>www.cfe-eutax.org</w:t>
              </w:r>
            </w:hyperlink>
          </w:p>
          <w:p w:rsidR="00067760" w:rsidRDefault="00067760">
            <w:pPr>
              <w:pStyle w:val="Lijstalinea"/>
              <w:spacing w:line="276" w:lineRule="auto"/>
              <w:ind w:left="126"/>
              <w:jc w:val="center"/>
              <w:rPr>
                <w:rStyle w:val="Hyperlink"/>
                <w:i/>
                <w:iCs/>
                <w:sz w:val="20"/>
                <w:szCs w:val="20"/>
                <w:lang w:val="en-GB" w:eastAsia="en-US"/>
              </w:rPr>
            </w:pPr>
          </w:p>
          <w:p w:rsidR="00067760" w:rsidRDefault="00067760">
            <w:pPr>
              <w:pStyle w:val="Lijstalinea"/>
              <w:spacing w:line="276" w:lineRule="auto"/>
              <w:ind w:left="126"/>
              <w:jc w:val="center"/>
              <w:rPr>
                <w:lang w:val="en-US"/>
              </w:rPr>
            </w:pPr>
            <w:r>
              <w:rPr>
                <w:i/>
                <w:iCs/>
                <w:sz w:val="20"/>
                <w:szCs w:val="20"/>
                <w:lang w:val="en-US" w:eastAsia="en-US"/>
              </w:rPr>
              <w:t xml:space="preserve">Follow us on </w:t>
            </w:r>
            <w:hyperlink r:id="rId17" w:history="1">
              <w:r>
                <w:rPr>
                  <w:rStyle w:val="Hyperlink"/>
                  <w:sz w:val="20"/>
                  <w:szCs w:val="20"/>
                  <w:lang w:val="en-US" w:eastAsia="en-US"/>
                </w:rPr>
                <w:t>Linked in</w:t>
              </w:r>
            </w:hyperlink>
            <w:r>
              <w:rPr>
                <w:sz w:val="20"/>
                <w:szCs w:val="20"/>
                <w:lang w:eastAsia="en-US"/>
              </w:rPr>
              <w:t xml:space="preserve"> </w:t>
            </w:r>
            <w:r>
              <w:rPr>
                <w:noProof/>
                <w:sz w:val="20"/>
                <w:szCs w:val="20"/>
              </w:rPr>
              <w:drawing>
                <wp:inline distT="0" distB="0" distL="0" distR="0">
                  <wp:extent cx="200025" cy="190500"/>
                  <wp:effectExtent l="0" t="0" r="9525" b="0"/>
                  <wp:docPr id="1" name="Afbeelding 1" descr="cid:image004.png@01CFAA5C.15EA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AA5C.15EA18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lang w:eastAsia="en-US"/>
              </w:rPr>
              <w:t> </w:t>
            </w:r>
          </w:p>
        </w:tc>
      </w:tr>
      <w:tr w:rsidR="00067760" w:rsidTr="00067760">
        <w:trPr>
          <w:tblCellSpacing w:w="0" w:type="dxa"/>
        </w:trPr>
        <w:tc>
          <w:tcPr>
            <w:tcW w:w="8154" w:type="dxa"/>
            <w:tcBorders>
              <w:top w:val="nil"/>
              <w:left w:val="nil"/>
              <w:bottom w:val="nil"/>
              <w:right w:val="nil"/>
            </w:tcBorders>
            <w:tcMar>
              <w:top w:w="375" w:type="dxa"/>
              <w:left w:w="300" w:type="dxa"/>
              <w:bottom w:w="300" w:type="dxa"/>
              <w:right w:w="300" w:type="dxa"/>
            </w:tcMar>
            <w:vAlign w:val="center"/>
          </w:tcPr>
          <w:p w:rsidR="00067760" w:rsidRDefault="00067760">
            <w:pPr>
              <w:spacing w:line="276" w:lineRule="auto"/>
              <w:jc w:val="both"/>
              <w:rPr>
                <w:rFonts w:ascii="Calibri" w:hAnsi="Calibri"/>
                <w:sz w:val="20"/>
                <w:szCs w:val="20"/>
                <w:lang w:val="en-US" w:eastAsia="en-US"/>
              </w:rPr>
            </w:pPr>
          </w:p>
        </w:tc>
      </w:tr>
    </w:tbl>
    <w:p w:rsidR="00067760" w:rsidRDefault="00067760" w:rsidP="00067760">
      <w:pPr>
        <w:rPr>
          <w:lang w:val="en-US"/>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60"/>
    <w:rsid w:val="00067760"/>
    <w:rsid w:val="0066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776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7760"/>
    <w:rPr>
      <w:color w:val="0000FF"/>
      <w:u w:val="single"/>
    </w:rPr>
  </w:style>
  <w:style w:type="paragraph" w:styleId="Lijstalinea">
    <w:name w:val="List Paragraph"/>
    <w:basedOn w:val="Standaard"/>
    <w:uiPriority w:val="34"/>
    <w:qFormat/>
    <w:rsid w:val="00067760"/>
    <w:pPr>
      <w:ind w:left="720"/>
    </w:pPr>
    <w:rPr>
      <w:rFonts w:ascii="Calibri" w:hAnsi="Calibri"/>
      <w:sz w:val="22"/>
      <w:szCs w:val="22"/>
    </w:rPr>
  </w:style>
  <w:style w:type="paragraph" w:styleId="Ballontekst">
    <w:name w:val="Balloon Text"/>
    <w:basedOn w:val="Standaard"/>
    <w:link w:val="BallontekstChar"/>
    <w:uiPriority w:val="99"/>
    <w:semiHidden/>
    <w:unhideWhenUsed/>
    <w:rsid w:val="00067760"/>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760"/>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776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7760"/>
    <w:rPr>
      <w:color w:val="0000FF"/>
      <w:u w:val="single"/>
    </w:rPr>
  </w:style>
  <w:style w:type="paragraph" w:styleId="Lijstalinea">
    <w:name w:val="List Paragraph"/>
    <w:basedOn w:val="Standaard"/>
    <w:uiPriority w:val="34"/>
    <w:qFormat/>
    <w:rsid w:val="00067760"/>
    <w:pPr>
      <w:ind w:left="720"/>
    </w:pPr>
    <w:rPr>
      <w:rFonts w:ascii="Calibri" w:hAnsi="Calibri"/>
      <w:sz w:val="22"/>
      <w:szCs w:val="22"/>
    </w:rPr>
  </w:style>
  <w:style w:type="paragraph" w:styleId="Ballontekst">
    <w:name w:val="Balloon Text"/>
    <w:basedOn w:val="Standaard"/>
    <w:link w:val="BallontekstChar"/>
    <w:uiPriority w:val="99"/>
    <w:semiHidden/>
    <w:unhideWhenUsed/>
    <w:rsid w:val="00067760"/>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760"/>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consilium.europa.eu/doc/srv?l=EN&amp;f=ST%2016435%202014%20INIT" TargetMode="External"/><Relationship Id="rId13" Type="http://schemas.openxmlformats.org/officeDocument/2006/relationships/hyperlink" Target="http://www.icij.org/project/luxembourg-leaks/new-leak-reveals-luxembourg-tax-deals-disney-koch-brothers-empire"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ilium.europa.eu/uedocs/cms_data/docs/pressdata/en/ecofin/146127.pdf" TargetMode="External"/><Relationship Id="rId12" Type="http://schemas.openxmlformats.org/officeDocument/2006/relationships/hyperlink" Target="http://www.faz.net/aktuell/politik/europaeische-union/eu-kommissionspraesident-juncker-ueber-steueraffaere-13311935.html" TargetMode="External"/><Relationship Id="rId17" Type="http://schemas.openxmlformats.org/officeDocument/2006/relationships/hyperlink" Target="http://www.linkedin.com/company/confederation-fiscal-europeene?trk=company_name" TargetMode="External"/><Relationship Id="rId2" Type="http://schemas.microsoft.com/office/2007/relationships/stylesWithEffects" Target="stylesWithEffects.xml"/><Relationship Id="rId16" Type="http://schemas.openxmlformats.org/officeDocument/2006/relationships/hyperlink" Target="http://www.cfe-eutax.or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cid:image001.jpg@01D0186F.0BD79A60" TargetMode="External"/><Relationship Id="rId11" Type="http://schemas.openxmlformats.org/officeDocument/2006/relationships/hyperlink" Target="http://euobserver.com/political/126859" TargetMode="External"/><Relationship Id="rId5" Type="http://schemas.openxmlformats.org/officeDocument/2006/relationships/image" Target="media/image1.jpeg"/><Relationship Id="rId15" Type="http://schemas.openxmlformats.org/officeDocument/2006/relationships/hyperlink" Target="http://www.consilium.europa.eu/uedocs/cms_data/docs/pressdata/en/ecofin/146136.pdf" TargetMode="External"/><Relationship Id="rId10" Type="http://schemas.openxmlformats.org/officeDocument/2006/relationships/hyperlink" Target="http://register.consilium.europa.eu/doc/srv?l=EN&amp;f=ST%2014425%202014%20INIT" TargetMode="External"/><Relationship Id="rId19" Type="http://schemas.openxmlformats.org/officeDocument/2006/relationships/image" Target="cid:image004.png@01CFAA5C.15EA1810" TargetMode="External"/><Relationship Id="rId4" Type="http://schemas.openxmlformats.org/officeDocument/2006/relationships/webSettings" Target="webSettings.xml"/><Relationship Id="rId9" Type="http://schemas.openxmlformats.org/officeDocument/2006/relationships/hyperlink" Target="http://www.consilium.europa.eu/uedocs/cms_data/docs/pressdata/en/ecofin/146126.pdf" TargetMode="External"/><Relationship Id="rId14" Type="http://schemas.openxmlformats.org/officeDocument/2006/relationships/hyperlink" Target="http://register.consilium.europa.eu/pdf/en/14/st16/st16498.en1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68CF33AE</Template>
  <TotalTime>0</TotalTime>
  <Pages>2</Pages>
  <Words>719</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2015-01-13T09:57:00Z</dcterms:created>
  <dcterms:modified xsi:type="dcterms:W3CDTF">2015-01-13T09:57:00Z</dcterms:modified>
</cp:coreProperties>
</file>