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/>
        <w:tblW w:w="9696" w:type="dxa"/>
        <w:tblCellSpacing w:w="0" w:type="dxa"/>
        <w:tblBorders>
          <w:top w:val="single" w:sz="48" w:space="0" w:color="000099"/>
          <w:left w:val="single" w:sz="48" w:space="0" w:color="000099"/>
          <w:bottom w:val="single" w:sz="48" w:space="0" w:color="000099"/>
          <w:right w:val="single" w:sz="48" w:space="0" w:color="0000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2"/>
      </w:tblGrid>
      <w:tr w:rsidR="006A21F8" w:rsidTr="006A21F8">
        <w:trPr>
          <w:trHeight w:val="13114"/>
          <w:tblCellSpacing w:w="0" w:type="dxa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tbl>
            <w:tblPr>
              <w:tblW w:w="8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  <w:gridCol w:w="6"/>
            </w:tblGrid>
            <w:tr w:rsidR="006A21F8">
              <w:trPr>
                <w:tblCellSpacing w:w="0" w:type="dxa"/>
              </w:trPr>
              <w:tc>
                <w:tcPr>
                  <w:tcW w:w="8205" w:type="dxa"/>
                  <w:vAlign w:val="center"/>
                  <w:hideMark/>
                </w:tcPr>
                <w:p w:rsidR="006A21F8" w:rsidRDefault="006A21F8">
                  <w:pPr>
                    <w:framePr w:hSpace="180" w:wrap="around" w:vAnchor="text" w:hAnchor="text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noProof/>
                      <w:sz w:val="20"/>
                      <w:szCs w:val="20"/>
                      <w:lang w:eastAsia="nl-NL"/>
                    </w:rPr>
                    <w:drawing>
                      <wp:inline distT="0" distB="0" distL="0" distR="0">
                        <wp:extent cx="5762625" cy="666750"/>
                        <wp:effectExtent l="0" t="0" r="9525" b="0"/>
                        <wp:docPr id="4" name="Afbeelding 4" descr="cid:image001.jpg@01D012D8.FB763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D012D8.FB763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6A21F8" w:rsidRDefault="006A21F8">
                  <w:pPr>
                    <w:framePr w:hSpace="180" w:wrap="around" w:vAnchor="text" w:hAnchor="text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</w:rPr>
                  </w:pPr>
                </w:p>
                <w:p w:rsidR="006A21F8" w:rsidRDefault="006A21F8">
                  <w:pPr>
                    <w:framePr w:hSpace="180" w:wrap="around" w:vAnchor="text" w:hAnchor="text"/>
                    <w:jc w:val="both"/>
                    <w:rPr>
                      <w:rFonts w:ascii="Calibri" w:hAnsi="Calibri"/>
                      <w:color w:val="ACABAB"/>
                      <w:sz w:val="20"/>
                      <w:szCs w:val="20"/>
                    </w:rPr>
                  </w:pPr>
                </w:p>
              </w:tc>
            </w:tr>
          </w:tbl>
          <w:p w:rsidR="006A21F8" w:rsidRDefault="006A21F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Fiscal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Committee</w:t>
            </w:r>
            <w:proofErr w:type="spellEnd"/>
          </w:p>
          <w:p w:rsidR="006A21F8" w:rsidRDefault="006A21F8">
            <w:pPr>
              <w:shd w:val="clear" w:color="auto" w:fill="FEFEFE"/>
              <w:ind w:right="2925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 w:eastAsia="fr-BE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6A21F8" w:rsidRDefault="006A21F8">
            <w:pPr>
              <w:shd w:val="clear" w:color="auto" w:fill="FEFEFE"/>
              <w:ind w:left="7371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"/>
              </w:rPr>
              <w:t>8 December 2014</w:t>
            </w:r>
          </w:p>
          <w:p w:rsidR="006A21F8" w:rsidRDefault="006A21F8">
            <w:pPr>
              <w:jc w:val="both"/>
              <w:rPr>
                <w:rFonts w:ascii="Calibri" w:hAnsi="Calibri"/>
                <w:sz w:val="20"/>
                <w:szCs w:val="20"/>
                <w:lang w:val="en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France, Germany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Italy call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EU “Anti-BEPS Directive”</w:t>
            </w:r>
          </w:p>
          <w:p w:rsidR="006A21F8" w:rsidRDefault="006A21F8">
            <w:pPr>
              <w:pStyle w:val="Lijstaline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               </w:t>
            </w:r>
          </w:p>
          <w:p w:rsidR="006A21F8" w:rsidRDefault="006A21F8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On 28 November 2014, the </w:t>
            </w:r>
            <w:proofErr w:type="spellStart"/>
            <w:r>
              <w:rPr>
                <w:sz w:val="20"/>
                <w:szCs w:val="20"/>
                <w:lang w:eastAsia="en-US"/>
              </w:rPr>
              <w:t>finance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ministers of France, Germany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Italy sent a joint letter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tax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Pierre </w:t>
            </w:r>
            <w:proofErr w:type="spellStart"/>
            <w:r>
              <w:rPr>
                <w:sz w:val="20"/>
                <w:szCs w:val="20"/>
                <w:lang w:eastAsia="en-US"/>
              </w:rPr>
              <w:t>Moscovici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asking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propose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comprehensive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EU Directive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counter BEPS (base </w:t>
            </w:r>
            <w:proofErr w:type="spellStart"/>
            <w:r>
              <w:rPr>
                <w:sz w:val="20"/>
                <w:szCs w:val="20"/>
                <w:lang w:eastAsia="en-US"/>
              </w:rPr>
              <w:t>erosion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profit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shifting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multinational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enterprises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). The Directive </w:t>
            </w:r>
            <w:proofErr w:type="spellStart"/>
            <w:r>
              <w:rPr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contain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“</w:t>
            </w:r>
            <w:proofErr w:type="spellStart"/>
            <w:r>
              <w:rPr>
                <w:sz w:val="20"/>
                <w:szCs w:val="20"/>
                <w:lang w:eastAsia="en-US"/>
              </w:rPr>
              <w:t>general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principle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en-US"/>
              </w:rPr>
              <w:t>effective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”, </w:t>
            </w:r>
            <w:proofErr w:type="spellStart"/>
            <w:r>
              <w:rPr>
                <w:sz w:val="20"/>
                <w:szCs w:val="20"/>
                <w:lang w:eastAsia="en-US"/>
              </w:rPr>
              <w:t>according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which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benefits of the Parent-</w:t>
            </w:r>
            <w:proofErr w:type="spellStart"/>
            <w:r>
              <w:rPr>
                <w:sz w:val="20"/>
                <w:szCs w:val="20"/>
                <w:lang w:eastAsia="en-US"/>
              </w:rPr>
              <w:t>Subsidiary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Interest &amp; </w:t>
            </w:r>
            <w:proofErr w:type="spellStart"/>
            <w:r>
              <w:rPr>
                <w:sz w:val="20"/>
                <w:szCs w:val="20"/>
                <w:lang w:eastAsia="en-US"/>
              </w:rPr>
              <w:t>Royalties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Directive </w:t>
            </w:r>
            <w:proofErr w:type="spellStart"/>
            <w:r>
              <w:rPr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denied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if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eastAsia="en-US"/>
              </w:rPr>
              <w:t>not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lead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effective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taxation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Member </w:t>
            </w:r>
            <w:proofErr w:type="spellStart"/>
            <w:r>
              <w:rPr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should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adopt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Directive </w:t>
            </w:r>
            <w:proofErr w:type="spellStart"/>
            <w:r>
              <w:rPr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end of 2015. The ministers </w:t>
            </w:r>
            <w:proofErr w:type="spellStart"/>
            <w:r>
              <w:rPr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support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the European </w:t>
            </w:r>
            <w:proofErr w:type="spellStart"/>
            <w:r>
              <w:rPr>
                <w:sz w:val="20"/>
                <w:szCs w:val="20"/>
                <w:lang w:eastAsia="en-US"/>
              </w:rPr>
              <w:t>Commission´s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recent </w:t>
            </w:r>
            <w:proofErr w:type="spellStart"/>
            <w:r>
              <w:rPr>
                <w:sz w:val="20"/>
                <w:szCs w:val="20"/>
                <w:lang w:eastAsia="en-US"/>
              </w:rPr>
              <w:t>initiative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oblige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member </w:t>
            </w:r>
            <w:proofErr w:type="spellStart"/>
            <w:r>
              <w:rPr>
                <w:sz w:val="20"/>
                <w:szCs w:val="20"/>
                <w:lang w:eastAsia="en-US"/>
              </w:rPr>
              <w:t>states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automatically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exchange </w:t>
            </w:r>
            <w:proofErr w:type="spellStart"/>
            <w:r>
              <w:rPr>
                <w:sz w:val="20"/>
                <w:szCs w:val="20"/>
                <w:lang w:eastAsia="en-US"/>
              </w:rPr>
              <w:t>among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each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information on </w:t>
            </w:r>
            <w:proofErr w:type="spellStart"/>
            <w:r>
              <w:rPr>
                <w:sz w:val="20"/>
                <w:szCs w:val="20"/>
                <w:lang w:eastAsia="en-US"/>
              </w:rPr>
              <w:t>international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rulings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including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transfer pricing </w:t>
            </w:r>
            <w:proofErr w:type="spellStart"/>
            <w:r>
              <w:rPr>
                <w:sz w:val="20"/>
                <w:szCs w:val="20"/>
                <w:lang w:eastAsia="en-US"/>
              </w:rPr>
              <w:t>matters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They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also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require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registers of </w:t>
            </w:r>
            <w:proofErr w:type="spellStart"/>
            <w:r>
              <w:rPr>
                <w:sz w:val="20"/>
                <w:szCs w:val="20"/>
                <w:lang w:eastAsia="en-US"/>
              </w:rPr>
              <w:t>beneficial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owners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of companies,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available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</w:t>
            </w:r>
            <w:proofErr w:type="spellStart"/>
            <w:r>
              <w:rPr>
                <w:sz w:val="20"/>
                <w:szCs w:val="20"/>
                <w:lang w:eastAsia="en-US"/>
              </w:rPr>
              <w:t>administrations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:rsidR="006A21F8" w:rsidRDefault="006A21F8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Other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issues </w:t>
            </w:r>
            <w:proofErr w:type="spellStart"/>
            <w:r>
              <w:rPr>
                <w:sz w:val="20"/>
                <w:szCs w:val="20"/>
                <w:lang w:eastAsia="en-US"/>
              </w:rPr>
              <w:t>touched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upon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are patent box regimes, </w:t>
            </w:r>
            <w:proofErr w:type="spellStart"/>
            <w:r>
              <w:rPr>
                <w:sz w:val="20"/>
                <w:szCs w:val="20"/>
                <w:lang w:eastAsia="en-US"/>
              </w:rPr>
              <w:t>agreed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counter-</w:t>
            </w:r>
            <w:proofErr w:type="spellStart"/>
            <w:r>
              <w:rPr>
                <w:sz w:val="20"/>
                <w:szCs w:val="20"/>
                <w:lang w:eastAsia="en-US"/>
              </w:rPr>
              <w:t>measures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against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tax havens </w:t>
            </w:r>
            <w:proofErr w:type="spellStart"/>
            <w:r>
              <w:rPr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common GAAR (</w:t>
            </w:r>
            <w:proofErr w:type="spellStart"/>
            <w:r>
              <w:rPr>
                <w:sz w:val="20"/>
                <w:szCs w:val="20"/>
                <w:lang w:eastAsia="en-US"/>
              </w:rPr>
              <w:t>general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anti </w:t>
            </w:r>
            <w:proofErr w:type="spellStart"/>
            <w:r>
              <w:rPr>
                <w:sz w:val="20"/>
                <w:szCs w:val="20"/>
                <w:lang w:eastAsia="en-US"/>
              </w:rPr>
              <w:t>abuse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rules</w:t>
            </w:r>
            <w:proofErr w:type="spellEnd"/>
            <w:r>
              <w:rPr>
                <w:sz w:val="20"/>
                <w:szCs w:val="20"/>
                <w:lang w:eastAsia="en-US"/>
              </w:rPr>
              <w:t>).</w:t>
            </w:r>
          </w:p>
          <w:p w:rsidR="006A21F8" w:rsidRDefault="006A21F8">
            <w:pPr>
              <w:pStyle w:val="Lijstalinea"/>
              <w:spacing w:line="276" w:lineRule="auto"/>
              <w:ind w:left="426"/>
              <w:rPr>
                <w:sz w:val="20"/>
                <w:szCs w:val="20"/>
                <w:lang w:eastAsia="en-US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  <w:lang w:val="fr-BE" w:eastAsia="en-US"/>
              </w:rPr>
            </w:pPr>
            <w:hyperlink r:id="rId8" w:history="1">
              <w:proofErr w:type="spellStart"/>
              <w:r>
                <w:rPr>
                  <w:rStyle w:val="Hyperlink"/>
                  <w:sz w:val="20"/>
                  <w:szCs w:val="20"/>
                  <w:lang w:val="fr-BE" w:eastAsia="en-US"/>
                </w:rPr>
                <w:t>Letter</w:t>
              </w:r>
              <w:proofErr w:type="spellEnd"/>
            </w:hyperlink>
            <w:r>
              <w:rPr>
                <w:sz w:val="20"/>
                <w:szCs w:val="20"/>
                <w:lang w:val="fr-BE" w:eastAsia="en-US"/>
              </w:rPr>
              <w:t xml:space="preserve"> of 28 </w:t>
            </w:r>
            <w:proofErr w:type="spellStart"/>
            <w:r>
              <w:rPr>
                <w:sz w:val="20"/>
                <w:szCs w:val="20"/>
                <w:lang w:val="fr-BE" w:eastAsia="en-US"/>
              </w:rPr>
              <w:t>November</w:t>
            </w:r>
            <w:proofErr w:type="spellEnd"/>
            <w:r>
              <w:rPr>
                <w:sz w:val="20"/>
                <w:szCs w:val="20"/>
                <w:lang w:val="fr-BE" w:eastAsia="en-US"/>
              </w:rPr>
              <w:t xml:space="preserve"> 2014</w:t>
            </w:r>
          </w:p>
          <w:p w:rsidR="006A21F8" w:rsidRDefault="006A21F8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fr-BE" w:eastAsia="en-US"/>
              </w:rPr>
            </w:pPr>
          </w:p>
          <w:p w:rsidR="006A21F8" w:rsidRDefault="006A21F8">
            <w:pPr>
              <w:pStyle w:val="Lijstalinea"/>
              <w:spacing w:line="276" w:lineRule="auto"/>
              <w:jc w:val="both"/>
              <w:rPr>
                <w:sz w:val="20"/>
                <w:szCs w:val="20"/>
                <w:lang w:val="fr-BE" w:eastAsia="en-US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Contact points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2015 VAT changes</w:t>
            </w:r>
          </w:p>
          <w:p w:rsidR="006A21F8" w:rsidRDefault="006A21F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A21F8" w:rsidRDefault="006A21F8">
            <w:pPr>
              <w:ind w:left="426" w:right="14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On 5 December 2014, </w:t>
            </w:r>
            <w:r>
              <w:rPr>
                <w:rFonts w:ascii="Calibri" w:hAnsi="Calibri"/>
                <w:sz w:val="20"/>
                <w:szCs w:val="20"/>
              </w:rPr>
              <w:t xml:space="preserve">the European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Commission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has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published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 list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national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contact points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for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questions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operators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regarding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the 2015 changes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VAT on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electronic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telecommunication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broadcasting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services.</w:t>
            </w:r>
          </w:p>
          <w:p w:rsidR="006A21F8" w:rsidRDefault="006A21F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jc w:val="both"/>
              <w:rPr>
                <w:sz w:val="20"/>
                <w:szCs w:val="20"/>
                <w:lang w:val="fr-BE" w:eastAsia="en-US"/>
              </w:rPr>
            </w:pPr>
            <w:hyperlink r:id="rId9" w:history="1">
              <w:r>
                <w:rPr>
                  <w:rStyle w:val="Hyperlink"/>
                  <w:sz w:val="20"/>
                  <w:szCs w:val="20"/>
                  <w:lang w:val="fr-BE"/>
                </w:rPr>
                <w:t>List of national contact points</w:t>
              </w:r>
            </w:hyperlink>
          </w:p>
          <w:p w:rsidR="006A21F8" w:rsidRDefault="006A21F8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  <w:p w:rsidR="006A21F8" w:rsidRDefault="006A21F8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OECD BEPS webcast on 15 December 2014</w:t>
            </w:r>
          </w:p>
          <w:p w:rsidR="006A21F8" w:rsidRDefault="006A21F8">
            <w:pPr>
              <w:ind w:left="720"/>
              <w:rPr>
                <w:rFonts w:ascii="Calibri" w:hAnsi="Calibri"/>
                <w:sz w:val="20"/>
                <w:szCs w:val="20"/>
              </w:rPr>
            </w:pPr>
          </w:p>
          <w:p w:rsidR="006A21F8" w:rsidRDefault="006A21F8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Registration for the next OECD webcast on 15 December 2014 (15-16:00 CET) on latest developments on the OECD Action Plan on BEPS is now open.</w:t>
            </w:r>
          </w:p>
          <w:p w:rsidR="006A21F8" w:rsidRDefault="006A21F8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6A21F8" w:rsidRDefault="006A21F8" w:rsidP="002549E1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Style w:val="Hyperlink"/>
                <w:lang w:val="fr-BE"/>
              </w:rPr>
            </w:pPr>
            <w:hyperlink r:id="rId10" w:history="1">
              <w:proofErr w:type="spellStart"/>
              <w:r>
                <w:rPr>
                  <w:rStyle w:val="Hyperlink"/>
                  <w:sz w:val="20"/>
                  <w:szCs w:val="20"/>
                  <w:lang w:eastAsia="en-US"/>
                </w:rPr>
                <w:t>Registration</w:t>
              </w:r>
              <w:proofErr w:type="spellEnd"/>
            </w:hyperlink>
          </w:p>
          <w:p w:rsidR="006A21F8" w:rsidRDefault="006A21F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A21F8" w:rsidRDefault="006A21F8">
            <w:pPr>
              <w:jc w:val="center"/>
              <w:rPr>
                <w:rFonts w:ascii="Times New Roman" w:hAnsi="Times New Roman"/>
                <w:sz w:val="24"/>
                <w:szCs w:val="24"/>
                <w:lang w:val="fr-BE" w:eastAsia="fr-BE"/>
              </w:rPr>
            </w:pPr>
            <w:r>
              <w:rPr>
                <w:rFonts w:ascii="Calibri" w:hAnsi="Calibri"/>
                <w:sz w:val="20"/>
                <w:szCs w:val="20"/>
              </w:rPr>
              <w:t>*****</w:t>
            </w:r>
          </w:p>
          <w:p w:rsidR="006A21F8" w:rsidRDefault="006A21F8">
            <w:pPr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:rsidR="006A21F8" w:rsidRDefault="006A21F8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selection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of the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remitted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material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has been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prepared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Piergiorgio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Valente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Filipa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Correia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/ Rudolf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Reibel</w:t>
            </w:r>
            <w:proofErr w:type="spellEnd"/>
          </w:p>
          <w:p w:rsidR="006A21F8" w:rsidRDefault="006A21F8">
            <w:pPr>
              <w:pStyle w:val="Lijstalinea"/>
              <w:spacing w:line="276" w:lineRule="auto"/>
              <w:ind w:left="126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  <w:p w:rsidR="006A21F8" w:rsidRDefault="006A21F8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</w:rPr>
            </w:pPr>
            <w:hyperlink r:id="rId11" w:history="1">
              <w:r>
                <w:rPr>
                  <w:rStyle w:val="Hyperlink"/>
                  <w:i/>
                  <w:iCs/>
                  <w:sz w:val="20"/>
                  <w:szCs w:val="20"/>
                  <w:lang w:val="en-GB"/>
                </w:rPr>
                <w:t>www.cfe-eutax.org</w:t>
              </w:r>
            </w:hyperlink>
          </w:p>
          <w:p w:rsidR="006A21F8" w:rsidRDefault="006A21F8">
            <w:pPr>
              <w:pStyle w:val="Lijstalinea"/>
              <w:spacing w:line="276" w:lineRule="auto"/>
              <w:ind w:left="126"/>
              <w:jc w:val="center"/>
              <w:rPr>
                <w:rStyle w:val="Hyperlink"/>
                <w:i/>
                <w:iCs/>
                <w:sz w:val="20"/>
                <w:szCs w:val="20"/>
              </w:rPr>
            </w:pPr>
          </w:p>
          <w:p w:rsidR="006A21F8" w:rsidRDefault="006A21F8">
            <w:pPr>
              <w:pStyle w:val="Lijstalinea"/>
              <w:spacing w:line="276" w:lineRule="auto"/>
              <w:ind w:left="126"/>
              <w:jc w:val="center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Follow us on </w:t>
            </w:r>
            <w:hyperlink r:id="rId12" w:history="1">
              <w:r>
                <w:rPr>
                  <w:rStyle w:val="Hyperlink"/>
                  <w:sz w:val="20"/>
                  <w:szCs w:val="20"/>
                  <w:lang w:val="en-US"/>
                </w:rPr>
                <w:t>Linked in</w:t>
              </w:r>
            </w:hyperlink>
            <w:r>
              <w:rPr>
                <w:sz w:val="20"/>
                <w:szCs w:val="20"/>
                <w:lang w:val="fr-BE"/>
              </w:rPr>
              <w:t xml:space="preserve"> </w:t>
            </w:r>
            <w:r>
              <w:rPr>
                <w:noProof/>
                <w:sz w:val="20"/>
                <w:szCs w:val="20"/>
                <w:lang w:eastAsia="nl-NL"/>
              </w:rPr>
              <w:drawing>
                <wp:inline distT="0" distB="0" distL="0" distR="0">
                  <wp:extent cx="200025" cy="190500"/>
                  <wp:effectExtent l="0" t="0" r="9525" b="0"/>
                  <wp:docPr id="3" name="Afbeelding 3" descr="cid:image002.png@01D012D8.FB763B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012D8.FB763B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6A21F8" w:rsidTr="006A21F8">
        <w:trPr>
          <w:tblCellSpacing w:w="0" w:type="dxa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tcMar>
              <w:top w:w="375" w:type="dxa"/>
              <w:left w:w="300" w:type="dxa"/>
              <w:bottom w:w="300" w:type="dxa"/>
              <w:right w:w="300" w:type="dxa"/>
            </w:tcMar>
            <w:vAlign w:val="center"/>
          </w:tcPr>
          <w:p w:rsidR="006A21F8" w:rsidRDefault="006A21F8">
            <w:pPr>
              <w:jc w:val="both"/>
              <w:rPr>
                <w:rFonts w:ascii="Calibri" w:hAnsi="Calibri"/>
                <w:sz w:val="20"/>
                <w:szCs w:val="20"/>
                <w:lang w:val="en-US" w:eastAsia="fr-BE"/>
              </w:rPr>
            </w:pPr>
          </w:p>
        </w:tc>
      </w:tr>
    </w:tbl>
    <w:p w:rsidR="00667086" w:rsidRDefault="00667086"/>
    <w:sectPr w:rsidR="00667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27D6"/>
    <w:multiLevelType w:val="hybridMultilevel"/>
    <w:tmpl w:val="866C6DD2"/>
    <w:lvl w:ilvl="0" w:tplc="836091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A6951"/>
    <w:multiLevelType w:val="hybridMultilevel"/>
    <w:tmpl w:val="3C226E86"/>
    <w:lvl w:ilvl="0" w:tplc="B04E1E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F8"/>
    <w:rsid w:val="00667086"/>
    <w:rsid w:val="006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21F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A21F8"/>
    <w:pPr>
      <w:spacing w:after="0" w:line="240" w:lineRule="auto"/>
      <w:ind w:left="720"/>
    </w:pPr>
    <w:rPr>
      <w:rFonts w:ascii="Calibri" w:hAnsi="Calibri" w:cs="Times New Roman"/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21F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A21F8"/>
    <w:pPr>
      <w:spacing w:after="0" w:line="240" w:lineRule="auto"/>
      <w:ind w:left="720"/>
    </w:pPr>
    <w:rPr>
      <w:rFonts w:ascii="Calibri" w:hAnsi="Calibri" w:cs="Times New Roman"/>
      <w:lang w:eastAsia="fr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2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altransparency.org/wp-content/uploads/2014/12/Letter3Ministers.pdf?80f948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cid:image001.jpg@01D012D8.FB763B90" TargetMode="External"/><Relationship Id="rId12" Type="http://schemas.openxmlformats.org/officeDocument/2006/relationships/hyperlink" Target="http://www.linkedin.com/company/confederation-fiscal-europeene?trk=company_na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fe-eutax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cd.org/tax/beps-webcas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taxation_customs/resources/documents/taxation/vat/how_vat_works/telecom/list_contact_vat.pdf" TargetMode="External"/><Relationship Id="rId14" Type="http://schemas.openxmlformats.org/officeDocument/2006/relationships/image" Target="cid:image002.png@01D012D8.FB763B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68CF33AE</Template>
  <TotalTime>23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Baykal</dc:creator>
  <cp:lastModifiedBy>Nalan Baykal</cp:lastModifiedBy>
  <cp:revision>1</cp:revision>
  <dcterms:created xsi:type="dcterms:W3CDTF">2015-01-13T09:26:00Z</dcterms:created>
  <dcterms:modified xsi:type="dcterms:W3CDTF">2015-01-13T09:49:00Z</dcterms:modified>
</cp:coreProperties>
</file>