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AD" w:rsidRDefault="00C95DAD" w:rsidP="00C95DAD">
      <w:pPr>
        <w:rPr>
          <w:rFonts w:ascii="Calibri" w:hAnsi="Calibri"/>
          <w:color w:val="1F497D"/>
          <w:sz w:val="22"/>
          <w:szCs w:val="22"/>
          <w:lang w:val="en-US" w:eastAsia="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C95DAD" w:rsidTr="00C95DAD">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9066"/>
              <w:gridCol w:w="6"/>
            </w:tblGrid>
            <w:tr w:rsidR="00C95DAD">
              <w:trPr>
                <w:tblCellSpacing w:w="0" w:type="dxa"/>
              </w:trPr>
              <w:tc>
                <w:tcPr>
                  <w:tcW w:w="8205" w:type="dxa"/>
                  <w:vAlign w:val="center"/>
                  <w:hideMark/>
                </w:tcPr>
                <w:p w:rsidR="00C95DAD" w:rsidRDefault="00C95DAD">
                  <w:pPr>
                    <w:spacing w:line="276" w:lineRule="auto"/>
                    <w:jc w:val="both"/>
                    <w:rPr>
                      <w:rFonts w:ascii="Calibri" w:hAnsi="Calibri"/>
                      <w:sz w:val="20"/>
                      <w:szCs w:val="20"/>
                      <w:lang w:val="en-GB" w:eastAsia="en-US"/>
                    </w:rPr>
                  </w:pPr>
                  <w:r>
                    <w:rPr>
                      <w:rFonts w:ascii="Calibri" w:hAnsi="Calibri"/>
                      <w:noProof/>
                      <w:sz w:val="20"/>
                      <w:szCs w:val="20"/>
                    </w:rPr>
                    <w:drawing>
                      <wp:inline distT="0" distB="0" distL="0" distR="0">
                        <wp:extent cx="5762625" cy="666750"/>
                        <wp:effectExtent l="0" t="0" r="9525" b="0"/>
                        <wp:docPr id="2" name="Afbeelding 2" descr="cid:image002.jpg@01D00D61.508EA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00D61.508EA9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C95DAD" w:rsidRDefault="00C95DAD">
                  <w:pPr>
                    <w:spacing w:line="276" w:lineRule="auto"/>
                    <w:jc w:val="both"/>
                    <w:rPr>
                      <w:rFonts w:ascii="Calibri" w:hAnsi="Calibri"/>
                      <w:color w:val="ACABAB"/>
                      <w:sz w:val="20"/>
                      <w:szCs w:val="20"/>
                      <w:lang w:val="en-GB" w:eastAsia="en-US"/>
                    </w:rPr>
                  </w:pPr>
                </w:p>
                <w:p w:rsidR="00C95DAD" w:rsidRDefault="00C95DAD">
                  <w:pPr>
                    <w:spacing w:line="276" w:lineRule="auto"/>
                    <w:jc w:val="both"/>
                    <w:rPr>
                      <w:rFonts w:ascii="Calibri" w:hAnsi="Calibri"/>
                      <w:color w:val="ACABAB"/>
                      <w:sz w:val="20"/>
                      <w:szCs w:val="20"/>
                      <w:lang w:val="en-GB" w:eastAsia="en-US"/>
                    </w:rPr>
                  </w:pPr>
                </w:p>
              </w:tc>
            </w:tr>
          </w:tbl>
          <w:p w:rsidR="00C95DAD" w:rsidRDefault="00C95DAD">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C95DAD" w:rsidRDefault="00C95DAD">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C95DAD" w:rsidRDefault="00C95DAD">
            <w:pPr>
              <w:shd w:val="clear" w:color="auto" w:fill="FEFEFE"/>
              <w:spacing w:line="276" w:lineRule="auto"/>
              <w:ind w:left="7371"/>
              <w:jc w:val="both"/>
              <w:rPr>
                <w:rFonts w:ascii="Calibri" w:hAnsi="Calibri"/>
                <w:b/>
                <w:bCs/>
                <w:color w:val="000000"/>
                <w:sz w:val="20"/>
                <w:szCs w:val="20"/>
                <w:lang w:val="en" w:eastAsia="en-US"/>
              </w:rPr>
            </w:pPr>
            <w:bookmarkStart w:id="0" w:name="_GoBack"/>
            <w:bookmarkEnd w:id="0"/>
            <w:r>
              <w:rPr>
                <w:rFonts w:ascii="Calibri" w:hAnsi="Calibri"/>
                <w:b/>
                <w:bCs/>
                <w:color w:val="000000"/>
                <w:sz w:val="20"/>
                <w:szCs w:val="20"/>
                <w:lang w:val="en" w:eastAsia="en-US"/>
              </w:rPr>
              <w:t>     1 December 2014</w:t>
            </w:r>
          </w:p>
          <w:p w:rsidR="00C95DAD" w:rsidRDefault="00C95DAD">
            <w:pPr>
              <w:spacing w:line="276" w:lineRule="auto"/>
              <w:jc w:val="both"/>
              <w:rPr>
                <w:rFonts w:ascii="Calibri" w:hAnsi="Calibri"/>
                <w:sz w:val="20"/>
                <w:szCs w:val="20"/>
                <w:lang w:val="en" w:eastAsia="en-US"/>
              </w:rPr>
            </w:pPr>
          </w:p>
          <w:p w:rsidR="00C95DAD" w:rsidRDefault="00C95DAD">
            <w:pPr>
              <w:spacing w:line="276" w:lineRule="auto"/>
              <w:jc w:val="both"/>
              <w:rPr>
                <w:rFonts w:ascii="Calibri" w:hAnsi="Calibri"/>
                <w:sz w:val="20"/>
                <w:szCs w:val="20"/>
                <w:lang w:val="en" w:eastAsia="en-US"/>
              </w:rPr>
            </w:pPr>
          </w:p>
          <w:p w:rsidR="00C95DAD" w:rsidRDefault="00C95DAD" w:rsidP="002549E1">
            <w:pPr>
              <w:pStyle w:val="Lijstalinea"/>
              <w:numPr>
                <w:ilvl w:val="0"/>
                <w:numId w:val="1"/>
              </w:numPr>
              <w:spacing w:line="276" w:lineRule="auto"/>
              <w:jc w:val="both"/>
              <w:rPr>
                <w:b/>
                <w:bCs/>
                <w:sz w:val="20"/>
                <w:szCs w:val="20"/>
                <w:lang w:val="en-GB" w:eastAsia="en-US"/>
              </w:rPr>
            </w:pPr>
            <w:r>
              <w:rPr>
                <w:b/>
                <w:bCs/>
                <w:sz w:val="20"/>
                <w:szCs w:val="20"/>
                <w:lang w:val="en-GB" w:eastAsia="en-US"/>
              </w:rPr>
              <w:t>Commission refers Spain to CJEU for discriminatory tax treatment of investments in non-resident companies</w:t>
            </w:r>
          </w:p>
          <w:p w:rsidR="00C95DAD" w:rsidRDefault="00C95DAD">
            <w:pPr>
              <w:pStyle w:val="Lijstalinea"/>
              <w:spacing w:line="276" w:lineRule="auto"/>
              <w:jc w:val="both"/>
              <w:rPr>
                <w:sz w:val="20"/>
                <w:szCs w:val="20"/>
                <w:lang w:val="en-GB" w:eastAsia="en-US"/>
              </w:rPr>
            </w:pPr>
            <w:r>
              <w:rPr>
                <w:sz w:val="20"/>
                <w:szCs w:val="20"/>
                <w:lang w:val="en-GB" w:eastAsia="en-US"/>
              </w:rPr>
              <w:t xml:space="preserve">               </w:t>
            </w:r>
          </w:p>
          <w:p w:rsidR="00C95DAD" w:rsidRDefault="00C95DAD">
            <w:pPr>
              <w:pStyle w:val="Lijstalinea"/>
              <w:spacing w:line="276" w:lineRule="auto"/>
              <w:ind w:left="426"/>
              <w:jc w:val="both"/>
              <w:rPr>
                <w:sz w:val="20"/>
                <w:szCs w:val="20"/>
                <w:lang w:val="en-GB" w:eastAsia="en-US"/>
              </w:rPr>
            </w:pPr>
            <w:r>
              <w:rPr>
                <w:sz w:val="20"/>
                <w:szCs w:val="20"/>
                <w:lang w:val="en-GB" w:eastAsia="en-US"/>
              </w:rPr>
              <w:t>On 26 November 2014, the European Commission decided to refer Spain to the EU Court of Justice (CJEU) to ensure that the Spanish legislation on taxation of investments in non-resident companies complies with EU law. Under the Spanish provisions, the tax treatment for foreign-sourced dividends (i.e. dividends distributed by a non-resident company to a Spanish company) is more burdensome than the one applied to domestic-sourced dividends (i.e. dividends distributed by companies resident in Spain), as further conditions, e.g. on volume of income and level of shareholder participation, must be met in order to benefit from the tax advantage. In other cases, the tax advantage is not available for foreign-sourced dividends.</w:t>
            </w:r>
          </w:p>
          <w:p w:rsidR="00C95DAD" w:rsidRDefault="00C95DAD">
            <w:pPr>
              <w:pStyle w:val="Lijstalinea"/>
              <w:spacing w:line="276" w:lineRule="auto"/>
              <w:ind w:left="426"/>
              <w:jc w:val="both"/>
              <w:rPr>
                <w:sz w:val="20"/>
                <w:szCs w:val="20"/>
                <w:lang w:val="en-GB" w:eastAsia="en-US"/>
              </w:rPr>
            </w:pPr>
          </w:p>
          <w:p w:rsidR="00C95DAD" w:rsidRDefault="00C95DAD" w:rsidP="002549E1">
            <w:pPr>
              <w:pStyle w:val="Lijstalinea"/>
              <w:numPr>
                <w:ilvl w:val="0"/>
                <w:numId w:val="2"/>
              </w:numPr>
              <w:spacing w:line="276" w:lineRule="auto"/>
              <w:jc w:val="both"/>
              <w:rPr>
                <w:sz w:val="20"/>
                <w:szCs w:val="20"/>
                <w:lang w:eastAsia="en-US"/>
              </w:rPr>
            </w:pPr>
            <w:r>
              <w:rPr>
                <w:sz w:val="20"/>
                <w:szCs w:val="20"/>
                <w:lang w:eastAsia="en-US"/>
              </w:rPr>
              <w:t xml:space="preserve">Press release: </w:t>
            </w:r>
            <w:hyperlink r:id="rId8" w:history="1">
              <w:r>
                <w:rPr>
                  <w:rStyle w:val="Hyperlink"/>
                  <w:sz w:val="20"/>
                  <w:szCs w:val="20"/>
                  <w:lang w:eastAsia="en-US"/>
                </w:rPr>
                <w:t>EN</w:t>
              </w:r>
            </w:hyperlink>
            <w:r>
              <w:rPr>
                <w:sz w:val="20"/>
                <w:szCs w:val="20"/>
                <w:lang w:eastAsia="en-US"/>
              </w:rPr>
              <w:t xml:space="preserve"> (DE ES FR </w:t>
            </w:r>
            <w:proofErr w:type="spellStart"/>
            <w:r>
              <w:rPr>
                <w:sz w:val="20"/>
                <w:szCs w:val="20"/>
                <w:lang w:eastAsia="en-US"/>
              </w:rPr>
              <w:t>available</w:t>
            </w:r>
            <w:proofErr w:type="spellEnd"/>
            <w:r>
              <w:rPr>
                <w:sz w:val="20"/>
                <w:szCs w:val="20"/>
                <w:lang w:eastAsia="en-US"/>
              </w:rPr>
              <w:t>)</w:t>
            </w:r>
          </w:p>
          <w:p w:rsidR="00C95DAD" w:rsidRDefault="00C95DAD">
            <w:pPr>
              <w:pStyle w:val="Lijstalinea"/>
              <w:spacing w:line="276" w:lineRule="auto"/>
              <w:jc w:val="both"/>
              <w:rPr>
                <w:sz w:val="20"/>
                <w:szCs w:val="20"/>
                <w:lang w:eastAsia="en-US"/>
              </w:rPr>
            </w:pPr>
          </w:p>
          <w:p w:rsidR="00C95DAD" w:rsidRDefault="00C95DAD">
            <w:pPr>
              <w:pStyle w:val="Lijstalinea"/>
              <w:spacing w:line="276" w:lineRule="auto"/>
              <w:jc w:val="both"/>
              <w:rPr>
                <w:sz w:val="20"/>
                <w:szCs w:val="20"/>
                <w:lang w:eastAsia="en-US"/>
              </w:rPr>
            </w:pPr>
          </w:p>
          <w:p w:rsidR="00C95DAD" w:rsidRDefault="00C95DAD" w:rsidP="002549E1">
            <w:pPr>
              <w:pStyle w:val="Lijstalinea"/>
              <w:numPr>
                <w:ilvl w:val="0"/>
                <w:numId w:val="1"/>
              </w:numPr>
              <w:spacing w:line="276" w:lineRule="auto"/>
              <w:jc w:val="both"/>
              <w:rPr>
                <w:b/>
                <w:bCs/>
                <w:sz w:val="20"/>
                <w:szCs w:val="20"/>
                <w:lang w:val="en-GB" w:eastAsia="en-US"/>
              </w:rPr>
            </w:pPr>
            <w:r>
              <w:rPr>
                <w:b/>
                <w:bCs/>
                <w:sz w:val="20"/>
                <w:szCs w:val="20"/>
                <w:lang w:val="en-GB" w:eastAsia="en-US"/>
              </w:rPr>
              <w:t>Commission takes Spain to Court for discriminatory inheritance tax treatment of public debt bonds</w:t>
            </w:r>
          </w:p>
          <w:p w:rsidR="00C95DAD" w:rsidRDefault="00C95DAD">
            <w:pPr>
              <w:spacing w:line="276" w:lineRule="auto"/>
              <w:jc w:val="both"/>
              <w:rPr>
                <w:rFonts w:ascii="Calibri" w:hAnsi="Calibri"/>
                <w:sz w:val="20"/>
                <w:szCs w:val="20"/>
                <w:lang w:val="en-GB" w:eastAsia="en-US"/>
              </w:rPr>
            </w:pPr>
          </w:p>
          <w:p w:rsidR="00C95DAD" w:rsidRDefault="00C95DAD">
            <w:pPr>
              <w:spacing w:line="276" w:lineRule="auto"/>
              <w:ind w:left="426" w:right="141"/>
              <w:jc w:val="both"/>
              <w:rPr>
                <w:rFonts w:ascii="Calibri" w:hAnsi="Calibri"/>
                <w:sz w:val="20"/>
                <w:szCs w:val="20"/>
                <w:lang w:val="en-GB" w:eastAsia="en-US"/>
              </w:rPr>
            </w:pPr>
            <w:r>
              <w:rPr>
                <w:rFonts w:ascii="Calibri" w:hAnsi="Calibri"/>
                <w:sz w:val="20"/>
                <w:szCs w:val="20"/>
                <w:lang w:val="en-US" w:eastAsia="en-US"/>
              </w:rPr>
              <w:t xml:space="preserve">On 26 November 2014, </w:t>
            </w:r>
            <w:r>
              <w:rPr>
                <w:rFonts w:ascii="Calibri" w:hAnsi="Calibri"/>
                <w:sz w:val="20"/>
                <w:szCs w:val="20"/>
                <w:lang w:val="en-GB" w:eastAsia="en-US"/>
              </w:rPr>
              <w:t xml:space="preserve">the European Commission decided to refer Spain to the CJEU to ensure that the inheritance and gift tax legislation of the territory of </w:t>
            </w:r>
            <w:proofErr w:type="spellStart"/>
            <w:r>
              <w:rPr>
                <w:rFonts w:ascii="Calibri" w:hAnsi="Calibri"/>
                <w:sz w:val="20"/>
                <w:szCs w:val="20"/>
                <w:lang w:val="en-GB" w:eastAsia="en-US"/>
              </w:rPr>
              <w:t>Bizkaia</w:t>
            </w:r>
            <w:proofErr w:type="spellEnd"/>
            <w:r>
              <w:rPr>
                <w:rFonts w:ascii="Calibri" w:hAnsi="Calibri"/>
                <w:i/>
                <w:iCs/>
                <w:sz w:val="20"/>
                <w:szCs w:val="20"/>
                <w:lang w:val="en-GB" w:eastAsia="en-US"/>
              </w:rPr>
              <w:t xml:space="preserve"> </w:t>
            </w:r>
            <w:r>
              <w:rPr>
                <w:rFonts w:ascii="Calibri" w:hAnsi="Calibri"/>
                <w:sz w:val="20"/>
                <w:szCs w:val="20"/>
                <w:lang w:val="en-GB" w:eastAsia="en-US"/>
              </w:rPr>
              <w:t>complies with EU law. Under these provisions</w:t>
            </w:r>
            <w:r>
              <w:rPr>
                <w:rFonts w:ascii="Calibri" w:hAnsi="Calibri"/>
                <w:i/>
                <w:iCs/>
                <w:sz w:val="20"/>
                <w:szCs w:val="20"/>
                <w:lang w:val="en-GB" w:eastAsia="en-US"/>
              </w:rPr>
              <w:t xml:space="preserve">, </w:t>
            </w:r>
            <w:r>
              <w:rPr>
                <w:rFonts w:ascii="Calibri" w:hAnsi="Calibri"/>
                <w:sz w:val="20"/>
                <w:szCs w:val="20"/>
                <w:lang w:val="en-GB" w:eastAsia="en-US"/>
              </w:rPr>
              <w:t>public debt issued by the local administrations</w:t>
            </w:r>
            <w:r>
              <w:rPr>
                <w:rFonts w:ascii="Calibri" w:hAnsi="Calibri"/>
                <w:i/>
                <w:iCs/>
                <w:sz w:val="20"/>
                <w:szCs w:val="20"/>
                <w:lang w:val="en-GB" w:eastAsia="en-US"/>
              </w:rPr>
              <w:t xml:space="preserve"> </w:t>
            </w:r>
            <w:r>
              <w:rPr>
                <w:rFonts w:ascii="Calibri" w:hAnsi="Calibri"/>
                <w:sz w:val="20"/>
                <w:szCs w:val="20"/>
                <w:lang w:val="en-GB" w:eastAsia="en-US"/>
              </w:rPr>
              <w:t>benefits from a preferential inheritance tax treatment compared to that applied to similar titles issued in other EU/EEA states.</w:t>
            </w:r>
          </w:p>
          <w:p w:rsidR="00C95DAD" w:rsidRDefault="00C95DAD">
            <w:pPr>
              <w:spacing w:line="276" w:lineRule="auto"/>
              <w:jc w:val="both"/>
              <w:rPr>
                <w:rFonts w:ascii="Calibri" w:hAnsi="Calibri"/>
                <w:sz w:val="20"/>
                <w:szCs w:val="20"/>
                <w:lang w:val="en-GB" w:eastAsia="en-US"/>
              </w:rPr>
            </w:pPr>
          </w:p>
          <w:p w:rsidR="00C95DAD" w:rsidRDefault="00C95DAD" w:rsidP="002549E1">
            <w:pPr>
              <w:pStyle w:val="Lijstalinea"/>
              <w:numPr>
                <w:ilvl w:val="0"/>
                <w:numId w:val="2"/>
              </w:numPr>
              <w:spacing w:line="276" w:lineRule="auto"/>
              <w:jc w:val="both"/>
              <w:rPr>
                <w:sz w:val="20"/>
                <w:szCs w:val="20"/>
                <w:lang w:eastAsia="en-US"/>
              </w:rPr>
            </w:pPr>
            <w:r>
              <w:rPr>
                <w:sz w:val="20"/>
                <w:szCs w:val="20"/>
                <w:lang w:eastAsia="en-US"/>
              </w:rPr>
              <w:t xml:space="preserve">Press release: </w:t>
            </w:r>
            <w:hyperlink r:id="rId9" w:history="1">
              <w:r>
                <w:rPr>
                  <w:rStyle w:val="Hyperlink"/>
                  <w:sz w:val="20"/>
                  <w:szCs w:val="20"/>
                  <w:lang w:eastAsia="en-US"/>
                </w:rPr>
                <w:t>EN</w:t>
              </w:r>
            </w:hyperlink>
            <w:r>
              <w:rPr>
                <w:sz w:val="20"/>
                <w:szCs w:val="20"/>
                <w:lang w:eastAsia="en-US"/>
              </w:rPr>
              <w:t xml:space="preserve"> (DE ES FR </w:t>
            </w:r>
            <w:proofErr w:type="spellStart"/>
            <w:r>
              <w:rPr>
                <w:sz w:val="20"/>
                <w:szCs w:val="20"/>
                <w:lang w:eastAsia="en-US"/>
              </w:rPr>
              <w:t>available</w:t>
            </w:r>
            <w:proofErr w:type="spellEnd"/>
            <w:r>
              <w:rPr>
                <w:sz w:val="20"/>
                <w:szCs w:val="20"/>
                <w:lang w:eastAsia="en-US"/>
              </w:rPr>
              <w:t>)</w:t>
            </w:r>
          </w:p>
          <w:p w:rsidR="00C95DAD" w:rsidRDefault="00C95DAD">
            <w:pPr>
              <w:spacing w:line="276" w:lineRule="auto"/>
              <w:jc w:val="both"/>
              <w:rPr>
                <w:rFonts w:ascii="Calibri" w:hAnsi="Calibri"/>
                <w:sz w:val="20"/>
                <w:szCs w:val="20"/>
                <w:lang w:eastAsia="en-US"/>
              </w:rPr>
            </w:pPr>
          </w:p>
          <w:p w:rsidR="00C95DAD" w:rsidRDefault="00C95DAD">
            <w:pPr>
              <w:spacing w:line="276" w:lineRule="auto"/>
              <w:jc w:val="both"/>
              <w:rPr>
                <w:rFonts w:ascii="Calibri" w:hAnsi="Calibri"/>
                <w:sz w:val="20"/>
                <w:szCs w:val="20"/>
                <w:lang w:eastAsia="en-US"/>
              </w:rPr>
            </w:pPr>
          </w:p>
          <w:p w:rsidR="00C95DAD" w:rsidRDefault="00C95DAD" w:rsidP="002549E1">
            <w:pPr>
              <w:pStyle w:val="Lijstalinea"/>
              <w:numPr>
                <w:ilvl w:val="0"/>
                <w:numId w:val="1"/>
              </w:numPr>
              <w:spacing w:line="276" w:lineRule="auto"/>
              <w:jc w:val="both"/>
              <w:rPr>
                <w:sz w:val="20"/>
                <w:szCs w:val="20"/>
                <w:lang w:val="en-GB" w:eastAsia="en-US"/>
              </w:rPr>
            </w:pPr>
            <w:r>
              <w:rPr>
                <w:b/>
                <w:bCs/>
                <w:sz w:val="20"/>
                <w:szCs w:val="20"/>
                <w:lang w:val="en-GB" w:eastAsia="en-US"/>
              </w:rPr>
              <w:t>Commission asks Romania to stop discriminatory treatment of non-residents receiving income from Romania</w:t>
            </w:r>
          </w:p>
          <w:p w:rsidR="00C95DAD" w:rsidRDefault="00C95DAD">
            <w:pPr>
              <w:spacing w:line="276" w:lineRule="auto"/>
              <w:ind w:left="720"/>
              <w:jc w:val="both"/>
              <w:rPr>
                <w:rFonts w:ascii="Calibri" w:hAnsi="Calibri"/>
                <w:sz w:val="20"/>
                <w:szCs w:val="20"/>
                <w:lang w:val="en-GB" w:eastAsia="en-US"/>
              </w:rPr>
            </w:pPr>
          </w:p>
          <w:p w:rsidR="00C95DAD" w:rsidRDefault="00C95DAD">
            <w:pPr>
              <w:spacing w:line="276" w:lineRule="auto"/>
              <w:ind w:left="360"/>
              <w:jc w:val="both"/>
              <w:rPr>
                <w:rFonts w:ascii="Calibri" w:hAnsi="Calibri"/>
                <w:sz w:val="20"/>
                <w:szCs w:val="20"/>
                <w:lang w:val="en-GB" w:eastAsia="en-US"/>
              </w:rPr>
            </w:pPr>
            <w:r>
              <w:rPr>
                <w:rFonts w:ascii="Calibri" w:hAnsi="Calibri"/>
                <w:sz w:val="20"/>
                <w:szCs w:val="20"/>
                <w:lang w:val="en-US" w:eastAsia="en-US"/>
              </w:rPr>
              <w:t xml:space="preserve">On 26 November 2014, </w:t>
            </w:r>
            <w:r>
              <w:rPr>
                <w:rFonts w:ascii="Calibri" w:hAnsi="Calibri"/>
                <w:sz w:val="20"/>
                <w:szCs w:val="20"/>
                <w:lang w:val="en-GB" w:eastAsia="en-US"/>
              </w:rPr>
              <w:t xml:space="preserve">the European Commission requested Romania to amend its rules on the taxation of income from independent activities of non-resident individuals. In Romania, resident individuals receiving  income from Romania can deduct the related business expenses. Such possibility does not exist for individuals residing in another EU/EEA state, unless they have a permanent establishment in Romania. The Commission considers that this constitutes a restriction to the freedom to provide services and to the free movement of capital for which it sees no valid justification. The request takes the form of a reasoned opinion. In the absence of a satisfactory response within two months, the Commission may refer the </w:t>
            </w:r>
            <w:r>
              <w:rPr>
                <w:rFonts w:ascii="Calibri" w:hAnsi="Calibri"/>
                <w:sz w:val="20"/>
                <w:szCs w:val="20"/>
                <w:lang w:val="en-GB" w:eastAsia="en-US"/>
              </w:rPr>
              <w:lastRenderedPageBreak/>
              <w:t>matter to the CJEU.</w:t>
            </w:r>
          </w:p>
          <w:p w:rsidR="00C95DAD" w:rsidRDefault="00C95DAD">
            <w:pPr>
              <w:spacing w:line="276" w:lineRule="auto"/>
              <w:ind w:left="360"/>
              <w:jc w:val="both"/>
              <w:rPr>
                <w:rFonts w:ascii="Calibri" w:hAnsi="Calibri"/>
                <w:sz w:val="20"/>
                <w:szCs w:val="20"/>
                <w:lang w:val="en-GB" w:eastAsia="en-US"/>
              </w:rPr>
            </w:pPr>
          </w:p>
          <w:p w:rsidR="00C95DAD" w:rsidRDefault="00C95DAD" w:rsidP="002549E1">
            <w:pPr>
              <w:pStyle w:val="Lijstalinea"/>
              <w:numPr>
                <w:ilvl w:val="0"/>
                <w:numId w:val="2"/>
              </w:numPr>
              <w:spacing w:line="276" w:lineRule="auto"/>
              <w:jc w:val="both"/>
              <w:rPr>
                <w:rStyle w:val="Hyperlink"/>
              </w:rPr>
            </w:pPr>
            <w:hyperlink r:id="rId10" w:history="1">
              <w:r>
                <w:rPr>
                  <w:rStyle w:val="Hyperlink"/>
                  <w:sz w:val="20"/>
                  <w:szCs w:val="20"/>
                  <w:lang w:val="en-GB" w:eastAsia="en-US"/>
                </w:rPr>
                <w:t>November infringement package</w:t>
              </w:r>
            </w:hyperlink>
          </w:p>
          <w:p w:rsidR="00C95DAD" w:rsidRDefault="00C95DAD">
            <w:pPr>
              <w:pStyle w:val="Lijstalinea"/>
              <w:spacing w:line="276" w:lineRule="auto"/>
              <w:jc w:val="both"/>
            </w:pPr>
          </w:p>
          <w:p w:rsidR="00C95DAD" w:rsidRDefault="00C95DAD">
            <w:pPr>
              <w:pStyle w:val="Lijstalinea"/>
              <w:spacing w:line="276" w:lineRule="auto"/>
              <w:jc w:val="both"/>
              <w:rPr>
                <w:sz w:val="20"/>
                <w:szCs w:val="20"/>
                <w:lang w:val="en-GB" w:eastAsia="en-US"/>
              </w:rPr>
            </w:pPr>
          </w:p>
          <w:p w:rsidR="00C95DAD" w:rsidRDefault="00C95DAD" w:rsidP="002549E1">
            <w:pPr>
              <w:pStyle w:val="Lijstalinea"/>
              <w:numPr>
                <w:ilvl w:val="0"/>
                <w:numId w:val="1"/>
              </w:numPr>
              <w:spacing w:line="276" w:lineRule="auto"/>
              <w:jc w:val="both"/>
              <w:rPr>
                <w:b/>
                <w:bCs/>
                <w:sz w:val="20"/>
                <w:szCs w:val="20"/>
                <w:lang w:val="en-GB" w:eastAsia="en-US"/>
              </w:rPr>
            </w:pPr>
            <w:r>
              <w:rPr>
                <w:b/>
                <w:bCs/>
                <w:sz w:val="20"/>
                <w:szCs w:val="20"/>
                <w:lang w:val="en-GB" w:eastAsia="en-US"/>
              </w:rPr>
              <w:t>OECD publishes 2013 MAP statistics</w:t>
            </w:r>
          </w:p>
          <w:p w:rsidR="00C95DAD" w:rsidRDefault="00C95DAD">
            <w:pPr>
              <w:spacing w:line="276" w:lineRule="auto"/>
              <w:jc w:val="both"/>
              <w:rPr>
                <w:rFonts w:ascii="Calibri" w:hAnsi="Calibri"/>
                <w:sz w:val="20"/>
                <w:szCs w:val="20"/>
                <w:lang w:val="en-GB" w:eastAsia="en-US"/>
              </w:rPr>
            </w:pPr>
          </w:p>
          <w:p w:rsidR="00C95DAD" w:rsidRDefault="00C95DAD">
            <w:pPr>
              <w:spacing w:line="276" w:lineRule="auto"/>
              <w:ind w:left="426"/>
              <w:jc w:val="both"/>
              <w:rPr>
                <w:rFonts w:ascii="Calibri" w:hAnsi="Calibri"/>
                <w:sz w:val="20"/>
                <w:szCs w:val="20"/>
                <w:lang w:val="en-GB" w:eastAsia="en-US"/>
              </w:rPr>
            </w:pPr>
            <w:r>
              <w:rPr>
                <w:rFonts w:ascii="Calibri" w:hAnsi="Calibri"/>
                <w:sz w:val="20"/>
                <w:szCs w:val="20"/>
                <w:lang w:val="en-GB" w:eastAsia="en-US"/>
              </w:rPr>
              <w:t>On 25 November 2014, the OECD has published its statistics on mutual agreement procedures (MAP) opened, pending or concluded in 2013. Statistics show that the number both of new and pending cases has almost doubled since 2006, with a sharp increase in 2013. The average reported cycle time for cases completed, closed or withdrawn shows a slight decrease from 25.46 months in 2012 to 23.57 months in 2013, but no long-term trend can be observed.</w:t>
            </w:r>
          </w:p>
          <w:p w:rsidR="00C95DAD" w:rsidRDefault="00C95DAD">
            <w:pPr>
              <w:spacing w:line="276" w:lineRule="auto"/>
              <w:ind w:left="426"/>
              <w:jc w:val="both"/>
              <w:rPr>
                <w:rFonts w:ascii="Calibri" w:hAnsi="Calibri"/>
                <w:sz w:val="20"/>
                <w:szCs w:val="20"/>
                <w:lang w:val="en-GB" w:eastAsia="en-US"/>
              </w:rPr>
            </w:pPr>
            <w:r>
              <w:rPr>
                <w:rFonts w:ascii="Calibri" w:hAnsi="Calibri"/>
                <w:sz w:val="20"/>
                <w:szCs w:val="20"/>
                <w:lang w:val="en-GB" w:eastAsia="en-US"/>
              </w:rPr>
              <w:t>Action 14 of the OECD BEPS Action Plan presented in July 2013 aims to make dispute resolution more effective.</w:t>
            </w:r>
          </w:p>
          <w:p w:rsidR="00C95DAD" w:rsidRDefault="00C95DAD">
            <w:pPr>
              <w:spacing w:line="276" w:lineRule="auto"/>
              <w:ind w:left="426"/>
              <w:jc w:val="both"/>
              <w:rPr>
                <w:rFonts w:ascii="Calibri" w:hAnsi="Calibri"/>
                <w:sz w:val="20"/>
                <w:szCs w:val="20"/>
                <w:lang w:val="en-GB" w:eastAsia="en-US"/>
              </w:rPr>
            </w:pPr>
          </w:p>
          <w:p w:rsidR="00C95DAD" w:rsidRDefault="00C95DAD" w:rsidP="002549E1">
            <w:pPr>
              <w:pStyle w:val="Lijstalinea"/>
              <w:numPr>
                <w:ilvl w:val="0"/>
                <w:numId w:val="2"/>
              </w:numPr>
              <w:spacing w:line="276" w:lineRule="auto"/>
              <w:jc w:val="both"/>
              <w:rPr>
                <w:sz w:val="20"/>
                <w:szCs w:val="20"/>
                <w:lang w:val="en-GB" w:eastAsia="en-US"/>
              </w:rPr>
            </w:pPr>
            <w:r>
              <w:rPr>
                <w:sz w:val="20"/>
                <w:szCs w:val="20"/>
                <w:lang w:val="en-GB" w:eastAsia="en-US"/>
              </w:rPr>
              <w:t xml:space="preserve">News release: </w:t>
            </w:r>
            <w:hyperlink r:id="rId11" w:history="1">
              <w:r>
                <w:rPr>
                  <w:rStyle w:val="Hyperlink"/>
                  <w:sz w:val="20"/>
                  <w:szCs w:val="20"/>
                  <w:lang w:val="en-GB" w:eastAsia="en-US"/>
                </w:rPr>
                <w:t>EN</w:t>
              </w:r>
            </w:hyperlink>
            <w:r>
              <w:rPr>
                <w:sz w:val="20"/>
                <w:szCs w:val="20"/>
                <w:lang w:val="en-GB" w:eastAsia="en-US"/>
              </w:rPr>
              <w:t xml:space="preserve"> (FR available)</w:t>
            </w:r>
          </w:p>
          <w:p w:rsidR="00C95DAD" w:rsidRDefault="00C95DAD" w:rsidP="002549E1">
            <w:pPr>
              <w:pStyle w:val="Lijstalinea"/>
              <w:numPr>
                <w:ilvl w:val="0"/>
                <w:numId w:val="2"/>
              </w:numPr>
              <w:spacing w:line="276" w:lineRule="auto"/>
              <w:jc w:val="both"/>
              <w:rPr>
                <w:sz w:val="20"/>
                <w:szCs w:val="20"/>
                <w:lang w:val="en-GB" w:eastAsia="en-US"/>
              </w:rPr>
            </w:pPr>
            <w:r>
              <w:rPr>
                <w:sz w:val="20"/>
                <w:szCs w:val="20"/>
                <w:lang w:val="en-GB" w:eastAsia="en-US"/>
              </w:rPr>
              <w:t xml:space="preserve">Statistics: </w:t>
            </w:r>
            <w:hyperlink r:id="rId12" w:history="1">
              <w:r>
                <w:rPr>
                  <w:rStyle w:val="Hyperlink"/>
                  <w:sz w:val="20"/>
                  <w:szCs w:val="20"/>
                  <w:lang w:val="en-GB" w:eastAsia="en-US"/>
                </w:rPr>
                <w:t>EN</w:t>
              </w:r>
            </w:hyperlink>
            <w:r>
              <w:rPr>
                <w:sz w:val="20"/>
                <w:szCs w:val="20"/>
                <w:lang w:val="en-GB" w:eastAsia="en-US"/>
              </w:rPr>
              <w:t xml:space="preserve"> (FR available)</w:t>
            </w:r>
          </w:p>
          <w:p w:rsidR="00C95DAD" w:rsidRDefault="00C95DAD">
            <w:pPr>
              <w:spacing w:line="276" w:lineRule="auto"/>
              <w:ind w:left="426"/>
              <w:rPr>
                <w:rFonts w:ascii="Calibri" w:hAnsi="Calibri"/>
                <w:sz w:val="20"/>
                <w:szCs w:val="20"/>
                <w:lang w:val="en-GB" w:eastAsia="en-US"/>
              </w:rPr>
            </w:pPr>
          </w:p>
          <w:p w:rsidR="00C95DAD" w:rsidRDefault="00C95DAD">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C95DAD" w:rsidRDefault="00C95DAD">
            <w:pPr>
              <w:spacing w:line="276" w:lineRule="auto"/>
              <w:jc w:val="both"/>
              <w:rPr>
                <w:rFonts w:ascii="Calibri" w:hAnsi="Calibri"/>
                <w:sz w:val="20"/>
                <w:szCs w:val="20"/>
                <w:lang w:val="en-GB" w:eastAsia="en-US"/>
              </w:rPr>
            </w:pPr>
          </w:p>
          <w:p w:rsidR="00C95DAD" w:rsidRDefault="00C95DAD">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C95DAD" w:rsidRDefault="00C95DAD">
            <w:pPr>
              <w:pStyle w:val="Lijstalinea"/>
              <w:spacing w:line="276" w:lineRule="auto"/>
              <w:ind w:left="126"/>
              <w:jc w:val="center"/>
              <w:rPr>
                <w:i/>
                <w:iCs/>
                <w:sz w:val="20"/>
                <w:szCs w:val="20"/>
                <w:lang w:val="en-GB" w:eastAsia="en-US"/>
              </w:rPr>
            </w:pPr>
          </w:p>
          <w:p w:rsidR="00C95DAD" w:rsidRDefault="00C95DAD">
            <w:pPr>
              <w:pStyle w:val="Lijstalinea"/>
              <w:spacing w:line="276" w:lineRule="auto"/>
              <w:ind w:left="126"/>
              <w:jc w:val="center"/>
              <w:rPr>
                <w:rStyle w:val="Hyperlink"/>
                <w:lang w:val="en-US"/>
              </w:rPr>
            </w:pPr>
            <w:hyperlink r:id="rId13" w:history="1">
              <w:r>
                <w:rPr>
                  <w:rStyle w:val="Hyperlink"/>
                  <w:i/>
                  <w:iCs/>
                  <w:sz w:val="20"/>
                  <w:szCs w:val="20"/>
                  <w:lang w:val="en-GB" w:eastAsia="en-US"/>
                </w:rPr>
                <w:t>www.cfe-eutax.org</w:t>
              </w:r>
            </w:hyperlink>
          </w:p>
          <w:p w:rsidR="00C95DAD" w:rsidRDefault="00C95DAD">
            <w:pPr>
              <w:pStyle w:val="Lijstalinea"/>
              <w:spacing w:line="276" w:lineRule="auto"/>
              <w:ind w:left="126"/>
              <w:jc w:val="center"/>
              <w:rPr>
                <w:rStyle w:val="Hyperlink"/>
                <w:i/>
                <w:iCs/>
                <w:sz w:val="20"/>
                <w:szCs w:val="20"/>
                <w:lang w:val="en-GB" w:eastAsia="en-US"/>
              </w:rPr>
            </w:pPr>
          </w:p>
          <w:p w:rsidR="00C95DAD" w:rsidRDefault="00C95DAD">
            <w:pPr>
              <w:pStyle w:val="Lijstalinea"/>
              <w:spacing w:line="276" w:lineRule="auto"/>
              <w:ind w:left="126"/>
              <w:jc w:val="center"/>
              <w:rPr>
                <w:lang w:val="en-US"/>
              </w:rPr>
            </w:pPr>
            <w:r>
              <w:rPr>
                <w:i/>
                <w:iCs/>
                <w:sz w:val="20"/>
                <w:szCs w:val="20"/>
                <w:lang w:val="en-US" w:eastAsia="en-US"/>
              </w:rPr>
              <w:t xml:space="preserve">Follow us on </w:t>
            </w:r>
            <w:hyperlink r:id="rId14"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CFAA5C.15EA18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eastAsia="en-US"/>
              </w:rPr>
              <w:t> </w:t>
            </w:r>
          </w:p>
        </w:tc>
      </w:tr>
      <w:tr w:rsidR="00C95DAD" w:rsidTr="00C95DAD">
        <w:trPr>
          <w:trHeight w:val="334"/>
          <w:tblCellSpacing w:w="0" w:type="dxa"/>
        </w:trPr>
        <w:tc>
          <w:tcPr>
            <w:tcW w:w="8154" w:type="dxa"/>
            <w:tcBorders>
              <w:top w:val="nil"/>
              <w:left w:val="nil"/>
              <w:bottom w:val="nil"/>
              <w:right w:val="nil"/>
            </w:tcBorders>
            <w:tcMar>
              <w:top w:w="375" w:type="dxa"/>
              <w:left w:w="300" w:type="dxa"/>
              <w:bottom w:w="300" w:type="dxa"/>
              <w:right w:w="300" w:type="dxa"/>
            </w:tcMar>
            <w:vAlign w:val="center"/>
          </w:tcPr>
          <w:p w:rsidR="00C95DAD" w:rsidRDefault="00C95DAD">
            <w:pPr>
              <w:spacing w:line="276" w:lineRule="auto"/>
              <w:jc w:val="both"/>
              <w:rPr>
                <w:rFonts w:ascii="Calibri" w:hAnsi="Calibri"/>
                <w:sz w:val="20"/>
                <w:szCs w:val="20"/>
                <w:lang w:val="en-US" w:eastAsia="en-US"/>
              </w:rPr>
            </w:pPr>
          </w:p>
        </w:tc>
      </w:tr>
    </w:tbl>
    <w:p w:rsidR="00C95DAD" w:rsidRDefault="00C95DAD" w:rsidP="00C95DAD">
      <w:pPr>
        <w:rPr>
          <w:lang w:val="en-US"/>
        </w:rPr>
      </w:pPr>
    </w:p>
    <w:p w:rsidR="00667086" w:rsidRDefault="00667086"/>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7D6"/>
    <w:multiLevelType w:val="hybridMultilevel"/>
    <w:tmpl w:val="F23471B0"/>
    <w:lvl w:ilvl="0" w:tplc="DA80F4F8">
      <w:start w:val="1"/>
      <w:numFmt w:val="decimal"/>
      <w:lvlText w:val="%1."/>
      <w:lvlJc w:val="left"/>
      <w:pPr>
        <w:ind w:left="72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4B1A6951"/>
    <w:multiLevelType w:val="hybridMultilevel"/>
    <w:tmpl w:val="3C226E86"/>
    <w:lvl w:ilvl="0" w:tplc="B04E1EF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AD"/>
    <w:rsid w:val="00667086"/>
    <w:rsid w:val="00C95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5DA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95DAD"/>
    <w:rPr>
      <w:color w:val="0000FF"/>
      <w:u w:val="single"/>
    </w:rPr>
  </w:style>
  <w:style w:type="paragraph" w:styleId="Lijstalinea">
    <w:name w:val="List Paragraph"/>
    <w:basedOn w:val="Standaard"/>
    <w:uiPriority w:val="34"/>
    <w:qFormat/>
    <w:rsid w:val="00C95DAD"/>
    <w:pPr>
      <w:ind w:left="720"/>
    </w:pPr>
    <w:rPr>
      <w:rFonts w:ascii="Calibri" w:hAnsi="Calibri"/>
      <w:sz w:val="22"/>
      <w:szCs w:val="22"/>
    </w:rPr>
  </w:style>
  <w:style w:type="paragraph" w:styleId="Ballontekst">
    <w:name w:val="Balloon Text"/>
    <w:basedOn w:val="Standaard"/>
    <w:link w:val="BallontekstChar"/>
    <w:uiPriority w:val="99"/>
    <w:semiHidden/>
    <w:unhideWhenUsed/>
    <w:rsid w:val="00C95DAD"/>
    <w:rPr>
      <w:rFonts w:ascii="Tahoma" w:hAnsi="Tahoma" w:cs="Tahoma"/>
      <w:sz w:val="16"/>
      <w:szCs w:val="16"/>
    </w:rPr>
  </w:style>
  <w:style w:type="character" w:customStyle="1" w:styleId="BallontekstChar">
    <w:name w:val="Ballontekst Char"/>
    <w:basedOn w:val="Standaardalinea-lettertype"/>
    <w:link w:val="Ballontekst"/>
    <w:uiPriority w:val="99"/>
    <w:semiHidden/>
    <w:rsid w:val="00C95DAD"/>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5DA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95DAD"/>
    <w:rPr>
      <w:color w:val="0000FF"/>
      <w:u w:val="single"/>
    </w:rPr>
  </w:style>
  <w:style w:type="paragraph" w:styleId="Lijstalinea">
    <w:name w:val="List Paragraph"/>
    <w:basedOn w:val="Standaard"/>
    <w:uiPriority w:val="34"/>
    <w:qFormat/>
    <w:rsid w:val="00C95DAD"/>
    <w:pPr>
      <w:ind w:left="720"/>
    </w:pPr>
    <w:rPr>
      <w:rFonts w:ascii="Calibri" w:hAnsi="Calibri"/>
      <w:sz w:val="22"/>
      <w:szCs w:val="22"/>
    </w:rPr>
  </w:style>
  <w:style w:type="paragraph" w:styleId="Ballontekst">
    <w:name w:val="Balloon Text"/>
    <w:basedOn w:val="Standaard"/>
    <w:link w:val="BallontekstChar"/>
    <w:uiPriority w:val="99"/>
    <w:semiHidden/>
    <w:unhideWhenUsed/>
    <w:rsid w:val="00C95DAD"/>
    <w:rPr>
      <w:rFonts w:ascii="Tahoma" w:hAnsi="Tahoma" w:cs="Tahoma"/>
      <w:sz w:val="16"/>
      <w:szCs w:val="16"/>
    </w:rPr>
  </w:style>
  <w:style w:type="character" w:customStyle="1" w:styleId="BallontekstChar">
    <w:name w:val="Ballontekst Char"/>
    <w:basedOn w:val="Standaardalinea-lettertype"/>
    <w:link w:val="Ballontekst"/>
    <w:uiPriority w:val="99"/>
    <w:semiHidden/>
    <w:rsid w:val="00C95DAD"/>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4-2136_en.htm" TargetMode="External"/><Relationship Id="rId13" Type="http://schemas.openxmlformats.org/officeDocument/2006/relationships/hyperlink" Target="http://www.cfe-eutax.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image002.jpg@01D00D61.508EA9A0" TargetMode="External"/><Relationship Id="rId12" Type="http://schemas.openxmlformats.org/officeDocument/2006/relationships/hyperlink" Target="http://www.oecd.org/ctp/dispute/map-statistics-2013.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4.png@01CFAA5C.15EA18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ecd.org/tax/dispute/oecd-releases-2013-mutual-agreement-procedure-statistics.ht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europa.eu/rapid/press-release_MEMO-14-2130_en.htm" TargetMode="External"/><Relationship Id="rId4" Type="http://schemas.openxmlformats.org/officeDocument/2006/relationships/settings" Target="settings.xml"/><Relationship Id="rId9" Type="http://schemas.openxmlformats.org/officeDocument/2006/relationships/hyperlink" Target="http://europa.eu/rapid/press-release_IP-14-2135_en.htm" TargetMode="External"/><Relationship Id="rId14" Type="http://schemas.openxmlformats.org/officeDocument/2006/relationships/hyperlink" Target="http://www.linkedin.com/company/confederation-fiscal-europeene?trk=company_na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68CF33AE</Template>
  <TotalTime>2</TotalTime>
  <Pages>2</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2015-01-13T09:24:00Z</dcterms:created>
  <dcterms:modified xsi:type="dcterms:W3CDTF">2015-01-13T09:26:00Z</dcterms:modified>
</cp:coreProperties>
</file>