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01" w:rsidRDefault="004B4701" w:rsidP="004B4701">
      <w:pPr>
        <w:rPr>
          <w:rFonts w:ascii="Calibri" w:hAnsi="Calibri"/>
          <w:color w:val="1F497D"/>
          <w:sz w:val="22"/>
          <w:szCs w:val="22"/>
          <w:lang w:val="en-US" w:eastAsia="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4B4701" w:rsidTr="004B4701">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4B4701">
              <w:trPr>
                <w:tblCellSpacing w:w="0" w:type="dxa"/>
              </w:trPr>
              <w:tc>
                <w:tcPr>
                  <w:tcW w:w="8205" w:type="dxa"/>
                  <w:vAlign w:val="center"/>
                  <w:hideMark/>
                </w:tcPr>
                <w:p w:rsidR="004B4701" w:rsidRDefault="004B4701">
                  <w:pPr>
                    <w:spacing w:line="276" w:lineRule="auto"/>
                    <w:jc w:val="both"/>
                    <w:rPr>
                      <w:rFonts w:ascii="Calibri" w:hAnsi="Calibri"/>
                      <w:sz w:val="20"/>
                      <w:szCs w:val="20"/>
                      <w:lang w:val="en-GB" w:eastAsia="en-US"/>
                    </w:rPr>
                  </w:pPr>
                  <w:r>
                    <w:rPr>
                      <w:rFonts w:ascii="Calibri" w:hAnsi="Calibri"/>
                      <w:noProof/>
                      <w:sz w:val="20"/>
                      <w:szCs w:val="20"/>
                    </w:rPr>
                    <w:drawing>
                      <wp:inline distT="0" distB="0" distL="0" distR="0">
                        <wp:extent cx="5762625" cy="666750"/>
                        <wp:effectExtent l="0" t="0" r="9525" b="0"/>
                        <wp:docPr id="2" name="Afbeelding 2" descr="cid:image002.jpg@01D007EA.7A58B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07EA.7A58B5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4B4701" w:rsidRDefault="004B4701">
                  <w:pPr>
                    <w:spacing w:line="276" w:lineRule="auto"/>
                    <w:jc w:val="both"/>
                    <w:rPr>
                      <w:rFonts w:ascii="Calibri" w:hAnsi="Calibri"/>
                      <w:color w:val="ACABAB"/>
                      <w:sz w:val="20"/>
                      <w:szCs w:val="20"/>
                      <w:lang w:val="en-GB" w:eastAsia="en-US"/>
                    </w:rPr>
                  </w:pPr>
                </w:p>
                <w:p w:rsidR="004B4701" w:rsidRDefault="004B4701">
                  <w:pPr>
                    <w:spacing w:line="276" w:lineRule="auto"/>
                    <w:jc w:val="both"/>
                    <w:rPr>
                      <w:rFonts w:ascii="Calibri" w:hAnsi="Calibri"/>
                      <w:color w:val="ACABAB"/>
                      <w:sz w:val="20"/>
                      <w:szCs w:val="20"/>
                      <w:lang w:val="en-GB" w:eastAsia="en-US"/>
                    </w:rPr>
                  </w:pPr>
                </w:p>
              </w:tc>
            </w:tr>
          </w:tbl>
          <w:p w:rsidR="004B4701" w:rsidRDefault="004B4701">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4B4701" w:rsidRDefault="004B4701">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4B4701" w:rsidRDefault="004B4701">
            <w:pPr>
              <w:shd w:val="clear" w:color="auto" w:fill="FEFEFE"/>
              <w:spacing w:line="276" w:lineRule="auto"/>
              <w:ind w:left="7371"/>
              <w:jc w:val="both"/>
              <w:rPr>
                <w:rFonts w:ascii="Calibri" w:hAnsi="Calibri"/>
                <w:b/>
                <w:bCs/>
                <w:color w:val="000000"/>
                <w:sz w:val="20"/>
                <w:szCs w:val="20"/>
                <w:lang w:val="en" w:eastAsia="en-US"/>
              </w:rPr>
            </w:pPr>
            <w:r>
              <w:rPr>
                <w:rFonts w:ascii="Calibri" w:hAnsi="Calibri"/>
                <w:b/>
                <w:bCs/>
                <w:color w:val="000000"/>
                <w:sz w:val="20"/>
                <w:szCs w:val="20"/>
                <w:lang w:val="en" w:eastAsia="en-US"/>
              </w:rPr>
              <w:t>24 November 2014</w:t>
            </w:r>
          </w:p>
          <w:p w:rsidR="004B4701" w:rsidRDefault="004B4701">
            <w:pPr>
              <w:pStyle w:val="Lijstalinea"/>
              <w:spacing w:line="276" w:lineRule="auto"/>
              <w:jc w:val="both"/>
              <w:rPr>
                <w:b/>
                <w:bCs/>
                <w:sz w:val="20"/>
                <w:szCs w:val="20"/>
                <w:lang w:val="en-GB" w:eastAsia="en-US"/>
              </w:rPr>
            </w:pPr>
          </w:p>
          <w:p w:rsidR="004B4701" w:rsidRDefault="004B4701">
            <w:pPr>
              <w:spacing w:line="276" w:lineRule="auto"/>
              <w:jc w:val="both"/>
              <w:rPr>
                <w:rFonts w:ascii="Calibri" w:hAnsi="Calibri"/>
                <w:sz w:val="20"/>
                <w:szCs w:val="20"/>
                <w:lang w:val="en" w:eastAsia="en-US"/>
              </w:rPr>
            </w:pPr>
          </w:p>
          <w:p w:rsidR="004B4701" w:rsidRDefault="004B4701" w:rsidP="002549E1">
            <w:pPr>
              <w:numPr>
                <w:ilvl w:val="0"/>
                <w:numId w:val="1"/>
              </w:numPr>
              <w:spacing w:line="276" w:lineRule="auto"/>
              <w:jc w:val="both"/>
              <w:rPr>
                <w:rFonts w:ascii="Calibri" w:eastAsia="Times New Roman" w:hAnsi="Calibri"/>
                <w:b/>
                <w:bCs/>
                <w:sz w:val="20"/>
                <w:szCs w:val="20"/>
                <w:lang w:val="en-US" w:eastAsia="en-US"/>
              </w:rPr>
            </w:pPr>
            <w:r>
              <w:rPr>
                <w:rFonts w:ascii="Calibri" w:eastAsia="Times New Roman" w:hAnsi="Calibri"/>
                <w:b/>
                <w:bCs/>
                <w:sz w:val="20"/>
                <w:szCs w:val="20"/>
                <w:lang w:val="en-US" w:eastAsia="en-US"/>
              </w:rPr>
              <w:t>Switzerland signs agreement on automatic exchange of information</w:t>
            </w:r>
          </w:p>
          <w:p w:rsidR="004B4701" w:rsidRDefault="004B4701">
            <w:pPr>
              <w:spacing w:line="276" w:lineRule="auto"/>
              <w:jc w:val="both"/>
              <w:rPr>
                <w:rFonts w:ascii="Calibri" w:hAnsi="Calibri"/>
                <w:sz w:val="20"/>
                <w:szCs w:val="20"/>
                <w:lang w:val="en-US" w:eastAsia="en-US"/>
              </w:rPr>
            </w:pPr>
          </w:p>
          <w:p w:rsidR="004B4701" w:rsidRDefault="004B4701">
            <w:pPr>
              <w:spacing w:line="276" w:lineRule="auto"/>
              <w:ind w:left="360"/>
              <w:jc w:val="both"/>
              <w:rPr>
                <w:rFonts w:ascii="Calibri" w:hAnsi="Calibri"/>
                <w:sz w:val="20"/>
                <w:szCs w:val="20"/>
                <w:lang w:val="en-GB" w:eastAsia="en-US"/>
              </w:rPr>
            </w:pPr>
            <w:r>
              <w:rPr>
                <w:rFonts w:ascii="Calibri" w:hAnsi="Calibri"/>
                <w:sz w:val="20"/>
                <w:szCs w:val="20"/>
                <w:lang w:val="en-US" w:eastAsia="en-US"/>
              </w:rPr>
              <w:t>On 19 November 2014, Switzerland has signed, as the 52</w:t>
            </w:r>
            <w:r>
              <w:rPr>
                <w:rFonts w:ascii="Calibri" w:hAnsi="Calibri"/>
                <w:sz w:val="20"/>
                <w:szCs w:val="20"/>
                <w:vertAlign w:val="superscript"/>
                <w:lang w:val="en-US" w:eastAsia="en-US"/>
              </w:rPr>
              <w:t>nd</w:t>
            </w:r>
            <w:r>
              <w:rPr>
                <w:rFonts w:ascii="Calibri" w:hAnsi="Calibri"/>
                <w:sz w:val="20"/>
                <w:szCs w:val="20"/>
                <w:lang w:val="en-US" w:eastAsia="en-US"/>
              </w:rPr>
              <w:t xml:space="preserve"> country, the “multilateral competent authority agreement”, dealing with the practical implementation of the OECD global standard on automatic exchange of financial information in tax matters. The decision is still subject to parliamentary approval and possibly a plebiscite.</w:t>
            </w:r>
          </w:p>
          <w:p w:rsidR="004B4701" w:rsidRDefault="004B4701">
            <w:pPr>
              <w:spacing w:line="276" w:lineRule="auto"/>
              <w:jc w:val="both"/>
              <w:rPr>
                <w:rFonts w:ascii="Calibri" w:hAnsi="Calibri"/>
                <w:sz w:val="20"/>
                <w:szCs w:val="20"/>
                <w:lang w:val="en" w:eastAsia="en-US"/>
              </w:rPr>
            </w:pPr>
          </w:p>
          <w:p w:rsidR="004B4701" w:rsidRDefault="004B4701" w:rsidP="002549E1">
            <w:pPr>
              <w:numPr>
                <w:ilvl w:val="0"/>
                <w:numId w:val="2"/>
              </w:numPr>
              <w:spacing w:line="276" w:lineRule="auto"/>
              <w:jc w:val="both"/>
              <w:rPr>
                <w:rFonts w:ascii="Calibri" w:hAnsi="Calibri"/>
                <w:sz w:val="20"/>
                <w:szCs w:val="20"/>
                <w:lang w:val="en" w:eastAsia="en-US"/>
              </w:rPr>
            </w:pPr>
            <w:r>
              <w:rPr>
                <w:rFonts w:ascii="Calibri" w:hAnsi="Calibri"/>
                <w:sz w:val="20"/>
                <w:szCs w:val="20"/>
                <w:lang w:eastAsia="en-US"/>
              </w:rPr>
              <w:t>News release</w:t>
            </w:r>
            <w:r>
              <w:rPr>
                <w:rFonts w:ascii="Calibri" w:hAnsi="Calibri"/>
                <w:sz w:val="20"/>
                <w:szCs w:val="20"/>
                <w:lang w:val="en-GB" w:eastAsia="en-US"/>
              </w:rPr>
              <w:t xml:space="preserve"> (</w:t>
            </w:r>
            <w:hyperlink r:id="rId8" w:history="1">
              <w:r>
                <w:rPr>
                  <w:rStyle w:val="Hyperlink"/>
                  <w:rFonts w:ascii="Calibri" w:hAnsi="Calibri"/>
                  <w:sz w:val="20"/>
                  <w:szCs w:val="20"/>
                  <w:lang w:val="en-GB" w:eastAsia="en-US"/>
                </w:rPr>
                <w:t>EN</w:t>
              </w:r>
            </w:hyperlink>
            <w:r>
              <w:rPr>
                <w:rFonts w:ascii="Calibri" w:hAnsi="Calibri"/>
                <w:sz w:val="20"/>
                <w:szCs w:val="20"/>
                <w:lang w:val="en-GB" w:eastAsia="en-US"/>
              </w:rPr>
              <w:t>/</w:t>
            </w:r>
            <w:hyperlink r:id="rId9" w:history="1">
              <w:r>
                <w:rPr>
                  <w:rStyle w:val="Hyperlink"/>
                  <w:rFonts w:ascii="Calibri" w:hAnsi="Calibri"/>
                  <w:sz w:val="20"/>
                  <w:szCs w:val="20"/>
                  <w:lang w:val="en-GB" w:eastAsia="en-US"/>
                </w:rPr>
                <w:t>FR</w:t>
              </w:r>
            </w:hyperlink>
            <w:r>
              <w:rPr>
                <w:rFonts w:ascii="Calibri" w:hAnsi="Calibri"/>
                <w:sz w:val="20"/>
                <w:szCs w:val="20"/>
                <w:lang w:val="en-GB" w:eastAsia="en-US"/>
              </w:rPr>
              <w:t>)</w:t>
            </w:r>
          </w:p>
          <w:p w:rsidR="004B4701" w:rsidRDefault="004B4701" w:rsidP="002549E1">
            <w:pPr>
              <w:numPr>
                <w:ilvl w:val="0"/>
                <w:numId w:val="2"/>
              </w:numPr>
              <w:spacing w:line="276" w:lineRule="auto"/>
              <w:jc w:val="both"/>
              <w:rPr>
                <w:rFonts w:ascii="Calibri" w:hAnsi="Calibri"/>
                <w:sz w:val="20"/>
                <w:szCs w:val="20"/>
                <w:lang w:val="en" w:eastAsia="en-US"/>
              </w:rPr>
            </w:pPr>
            <w:r>
              <w:rPr>
                <w:rFonts w:ascii="Calibri" w:hAnsi="Calibri"/>
                <w:sz w:val="20"/>
                <w:szCs w:val="20"/>
                <w:lang w:val="en" w:eastAsia="en-US"/>
              </w:rPr>
              <w:t xml:space="preserve">Information on the </w:t>
            </w:r>
            <w:r>
              <w:rPr>
                <w:rFonts w:ascii="Calibri" w:hAnsi="Calibri"/>
                <w:sz w:val="20"/>
                <w:szCs w:val="20"/>
                <w:lang w:val="en-GB" w:eastAsia="en-US"/>
              </w:rPr>
              <w:t xml:space="preserve">multilateral competent authority agreement on OECD website: </w:t>
            </w:r>
            <w:hyperlink r:id="rId10" w:history="1">
              <w:r>
                <w:rPr>
                  <w:rStyle w:val="Hyperlink"/>
                  <w:rFonts w:ascii="Calibri" w:hAnsi="Calibri"/>
                  <w:sz w:val="20"/>
                  <w:szCs w:val="20"/>
                  <w:lang w:val="en-GB" w:eastAsia="en-US"/>
                </w:rPr>
                <w:t>EN</w:t>
              </w:r>
            </w:hyperlink>
          </w:p>
          <w:p w:rsidR="004B4701" w:rsidRDefault="004B4701">
            <w:pPr>
              <w:spacing w:line="276" w:lineRule="auto"/>
              <w:jc w:val="both"/>
              <w:rPr>
                <w:rFonts w:ascii="Calibri" w:hAnsi="Calibri"/>
                <w:sz w:val="20"/>
                <w:szCs w:val="20"/>
                <w:lang w:val="en" w:eastAsia="en-US"/>
              </w:rPr>
            </w:pPr>
          </w:p>
          <w:p w:rsidR="004B4701" w:rsidRDefault="004B4701">
            <w:pPr>
              <w:pStyle w:val="Lijstalinea"/>
              <w:spacing w:line="276" w:lineRule="auto"/>
              <w:jc w:val="both"/>
              <w:rPr>
                <w:sz w:val="20"/>
                <w:szCs w:val="20"/>
                <w:lang w:val="en" w:eastAsia="en-US"/>
              </w:rPr>
            </w:pPr>
          </w:p>
          <w:p w:rsidR="004B4701" w:rsidRDefault="004B4701" w:rsidP="002549E1">
            <w:pPr>
              <w:pStyle w:val="Lijstalinea"/>
              <w:numPr>
                <w:ilvl w:val="0"/>
                <w:numId w:val="1"/>
              </w:numPr>
              <w:spacing w:line="276" w:lineRule="auto"/>
              <w:jc w:val="both"/>
              <w:rPr>
                <w:b/>
                <w:bCs/>
                <w:sz w:val="20"/>
                <w:szCs w:val="20"/>
                <w:lang w:val="en-US" w:eastAsia="en-US"/>
              </w:rPr>
            </w:pPr>
            <w:r>
              <w:rPr>
                <w:b/>
                <w:bCs/>
                <w:sz w:val="20"/>
                <w:szCs w:val="20"/>
                <w:lang w:val="en" w:eastAsia="en-US"/>
              </w:rPr>
              <w:t>BEPS: OECD consults on preventing tax treaty abuse</w:t>
            </w:r>
          </w:p>
          <w:p w:rsidR="004B4701" w:rsidRDefault="004B4701">
            <w:pPr>
              <w:spacing w:line="276" w:lineRule="auto"/>
              <w:jc w:val="both"/>
              <w:rPr>
                <w:rFonts w:ascii="Calibri" w:hAnsi="Calibri"/>
                <w:sz w:val="20"/>
                <w:szCs w:val="20"/>
                <w:lang w:val="en-US" w:eastAsia="en-US"/>
              </w:rPr>
            </w:pPr>
          </w:p>
          <w:p w:rsidR="004B4701" w:rsidRDefault="004B4701">
            <w:pPr>
              <w:spacing w:line="276" w:lineRule="auto"/>
              <w:ind w:left="360"/>
              <w:jc w:val="both"/>
              <w:rPr>
                <w:rFonts w:ascii="Calibri" w:hAnsi="Calibri"/>
                <w:sz w:val="20"/>
                <w:szCs w:val="20"/>
                <w:lang w:val="en-GB" w:eastAsia="en-US"/>
              </w:rPr>
            </w:pPr>
            <w:r>
              <w:rPr>
                <w:rFonts w:ascii="Calibri" w:hAnsi="Calibri"/>
                <w:sz w:val="20"/>
                <w:szCs w:val="20"/>
                <w:lang w:val="en-US" w:eastAsia="en-US"/>
              </w:rPr>
              <w:t xml:space="preserve">On 21 November 2014, the OECD has published a discussion draft on the prevention of tax treaty abuse (BEPS Action 6), as a follow-up to the OECD report of 16 September 2014 on this topic. </w:t>
            </w:r>
            <w:r>
              <w:rPr>
                <w:rFonts w:ascii="Calibri" w:hAnsi="Calibri"/>
                <w:sz w:val="20"/>
                <w:szCs w:val="20"/>
                <w:lang w:val="en-GB" w:eastAsia="en-US"/>
              </w:rPr>
              <w:t>The new discussion draft deals in particular with the limitation of benefits (LOB) rule, as well as with issues related to the treaty entitlement of collective investment vehicles (CIVs) and non-CIV funds.</w:t>
            </w:r>
          </w:p>
          <w:p w:rsidR="004B4701" w:rsidRDefault="004B4701">
            <w:pPr>
              <w:spacing w:line="276" w:lineRule="auto"/>
              <w:ind w:left="360"/>
              <w:jc w:val="both"/>
              <w:rPr>
                <w:rFonts w:ascii="Calibri" w:hAnsi="Calibri"/>
                <w:sz w:val="20"/>
                <w:szCs w:val="20"/>
                <w:lang w:val="en-GB" w:eastAsia="en-US"/>
              </w:rPr>
            </w:pPr>
            <w:r>
              <w:rPr>
                <w:rFonts w:ascii="Calibri" w:hAnsi="Calibri"/>
                <w:sz w:val="20"/>
                <w:szCs w:val="20"/>
                <w:lang w:val="en-GB" w:eastAsia="en-US"/>
              </w:rPr>
              <w:t>Comments are invited until 9 January 2014.</w:t>
            </w:r>
          </w:p>
          <w:p w:rsidR="004B4701" w:rsidRDefault="004B4701">
            <w:pPr>
              <w:spacing w:line="276" w:lineRule="auto"/>
              <w:jc w:val="both"/>
              <w:rPr>
                <w:rFonts w:ascii="Calibri" w:hAnsi="Calibri"/>
                <w:sz w:val="20"/>
                <w:szCs w:val="20"/>
                <w:lang w:val="en-GB" w:eastAsia="en-US"/>
              </w:rPr>
            </w:pPr>
          </w:p>
          <w:p w:rsidR="004B4701" w:rsidRDefault="004B4701" w:rsidP="002549E1">
            <w:pPr>
              <w:pStyle w:val="Lijstalinea"/>
              <w:numPr>
                <w:ilvl w:val="0"/>
                <w:numId w:val="2"/>
              </w:numPr>
              <w:spacing w:line="276" w:lineRule="auto"/>
              <w:jc w:val="both"/>
              <w:rPr>
                <w:sz w:val="20"/>
                <w:szCs w:val="20"/>
                <w:lang w:val="en-US" w:eastAsia="en-US"/>
              </w:rPr>
            </w:pPr>
            <w:r>
              <w:rPr>
                <w:sz w:val="20"/>
                <w:szCs w:val="20"/>
                <w:lang w:eastAsia="en-US"/>
              </w:rPr>
              <w:t xml:space="preserve">News release: </w:t>
            </w:r>
            <w:hyperlink r:id="rId11" w:history="1">
              <w:r>
                <w:rPr>
                  <w:rStyle w:val="Hyperlink"/>
                  <w:sz w:val="20"/>
                  <w:szCs w:val="20"/>
                  <w:lang w:eastAsia="en-US"/>
                </w:rPr>
                <w:t>EN</w:t>
              </w:r>
            </w:hyperlink>
            <w:r>
              <w:rPr>
                <w:sz w:val="20"/>
                <w:szCs w:val="20"/>
                <w:lang w:eastAsia="en-US"/>
              </w:rPr>
              <w:t xml:space="preserve"> (FR </w:t>
            </w:r>
            <w:proofErr w:type="spellStart"/>
            <w:r>
              <w:rPr>
                <w:sz w:val="20"/>
                <w:szCs w:val="20"/>
                <w:lang w:eastAsia="en-US"/>
              </w:rPr>
              <w:t>available</w:t>
            </w:r>
            <w:proofErr w:type="spellEnd"/>
            <w:r>
              <w:rPr>
                <w:sz w:val="20"/>
                <w:szCs w:val="20"/>
                <w:lang w:eastAsia="en-US"/>
              </w:rPr>
              <w:t>)</w:t>
            </w:r>
          </w:p>
          <w:p w:rsidR="004B4701" w:rsidRDefault="004B4701" w:rsidP="002549E1">
            <w:pPr>
              <w:pStyle w:val="Lijstalinea"/>
              <w:numPr>
                <w:ilvl w:val="0"/>
                <w:numId w:val="2"/>
              </w:numPr>
              <w:spacing w:line="276" w:lineRule="auto"/>
              <w:jc w:val="both"/>
              <w:rPr>
                <w:sz w:val="20"/>
                <w:szCs w:val="20"/>
                <w:lang w:val="en-US" w:eastAsia="en-US"/>
              </w:rPr>
            </w:pPr>
            <w:hyperlink r:id="rId12" w:history="1">
              <w:r>
                <w:rPr>
                  <w:rStyle w:val="Hyperlink"/>
                  <w:sz w:val="20"/>
                  <w:szCs w:val="20"/>
                  <w:lang w:val="en-GB" w:eastAsia="en-US"/>
                </w:rPr>
                <w:t>BEPS 6 follow-up Discussion Draft</w:t>
              </w:r>
            </w:hyperlink>
            <w:r>
              <w:rPr>
                <w:sz w:val="20"/>
                <w:szCs w:val="20"/>
                <w:lang w:val="en-GB" w:eastAsia="en-US"/>
              </w:rPr>
              <w:t>, 21 November 2014</w:t>
            </w:r>
          </w:p>
          <w:p w:rsidR="004B4701" w:rsidRDefault="004B4701" w:rsidP="002549E1">
            <w:pPr>
              <w:pStyle w:val="Lijstalinea"/>
              <w:numPr>
                <w:ilvl w:val="0"/>
                <w:numId w:val="2"/>
              </w:numPr>
              <w:spacing w:line="276" w:lineRule="auto"/>
              <w:jc w:val="both"/>
              <w:rPr>
                <w:sz w:val="20"/>
                <w:szCs w:val="20"/>
                <w:lang w:val="en-US" w:eastAsia="en-US"/>
              </w:rPr>
            </w:pPr>
            <w:hyperlink r:id="rId13" w:history="1">
              <w:r>
                <w:rPr>
                  <w:rStyle w:val="Hyperlink"/>
                  <w:sz w:val="20"/>
                  <w:szCs w:val="20"/>
                  <w:lang w:val="en-GB" w:eastAsia="en-US"/>
                </w:rPr>
                <w:t>Report of 16 September 2014 on BEPS Action 6</w:t>
              </w:r>
            </w:hyperlink>
          </w:p>
          <w:p w:rsidR="004B4701" w:rsidRDefault="004B4701">
            <w:pPr>
              <w:pStyle w:val="Lijstalinea"/>
              <w:spacing w:line="276" w:lineRule="auto"/>
              <w:jc w:val="both"/>
              <w:rPr>
                <w:sz w:val="20"/>
                <w:szCs w:val="20"/>
                <w:lang w:val="en-US" w:eastAsia="en-US"/>
              </w:rPr>
            </w:pPr>
          </w:p>
          <w:p w:rsidR="004B4701" w:rsidRDefault="004B4701">
            <w:pPr>
              <w:pStyle w:val="Lijstalinea"/>
              <w:spacing w:line="276" w:lineRule="auto"/>
              <w:jc w:val="both"/>
              <w:rPr>
                <w:sz w:val="20"/>
                <w:szCs w:val="20"/>
                <w:lang w:val="en-US" w:eastAsia="en-US"/>
              </w:rPr>
            </w:pPr>
          </w:p>
          <w:p w:rsidR="004B4701" w:rsidRDefault="004B4701" w:rsidP="002549E1">
            <w:pPr>
              <w:pStyle w:val="Lijstalinea"/>
              <w:numPr>
                <w:ilvl w:val="0"/>
                <w:numId w:val="1"/>
              </w:numPr>
              <w:spacing w:line="276" w:lineRule="auto"/>
              <w:rPr>
                <w:sz w:val="20"/>
                <w:szCs w:val="20"/>
                <w:lang w:val="en-GB" w:eastAsia="en-US"/>
              </w:rPr>
            </w:pPr>
            <w:r>
              <w:rPr>
                <w:b/>
                <w:bCs/>
                <w:sz w:val="20"/>
                <w:szCs w:val="20"/>
                <w:lang w:val="en-GB" w:eastAsia="en-US"/>
              </w:rPr>
              <w:t>Commission publishes review of taxes on wealth and transfer of wealth</w:t>
            </w:r>
          </w:p>
          <w:p w:rsidR="004B4701" w:rsidRDefault="004B4701">
            <w:pPr>
              <w:pStyle w:val="Lijstalinea"/>
              <w:spacing w:line="276" w:lineRule="auto"/>
              <w:rPr>
                <w:sz w:val="20"/>
                <w:szCs w:val="20"/>
                <w:lang w:val="en-GB" w:eastAsia="en-US"/>
              </w:rPr>
            </w:pPr>
            <w:r>
              <w:rPr>
                <w:sz w:val="20"/>
                <w:szCs w:val="20"/>
                <w:lang w:val="en-GB" w:eastAsia="en-US"/>
              </w:rPr>
              <w:t xml:space="preserve">               </w:t>
            </w:r>
          </w:p>
          <w:p w:rsidR="004B4701" w:rsidRDefault="004B4701">
            <w:pPr>
              <w:pStyle w:val="Lijstalinea"/>
              <w:spacing w:line="276" w:lineRule="auto"/>
              <w:ind w:left="426"/>
              <w:rPr>
                <w:sz w:val="20"/>
                <w:szCs w:val="20"/>
                <w:lang w:val="en-GB" w:eastAsia="en-US"/>
              </w:rPr>
            </w:pPr>
            <w:r>
              <w:rPr>
                <w:sz w:val="20"/>
                <w:szCs w:val="20"/>
                <w:lang w:val="en-GB" w:eastAsia="en-US"/>
              </w:rPr>
              <w:t>On 20 November 2014, the European Commission published a comprehensive cross-country study on taxes on wealth and transfer of wealth in the EU member states, including inheritance and gift taxes, real estate and land taxes and net-wealth taxes. While inheritances are taxed in 20 member states, gifts in 21 and real estate in every member state, taxes on net-wealth are rare. Though several countries have “environmental” taxes on the possession of certain assets, only three member states use net-wealth as a tax base.</w:t>
            </w:r>
          </w:p>
          <w:p w:rsidR="004B4701" w:rsidRDefault="004B4701">
            <w:pPr>
              <w:pStyle w:val="Lijstalinea"/>
              <w:spacing w:line="276" w:lineRule="auto"/>
              <w:ind w:left="426"/>
              <w:rPr>
                <w:sz w:val="20"/>
                <w:szCs w:val="20"/>
                <w:lang w:val="en-GB" w:eastAsia="en-US"/>
              </w:rPr>
            </w:pPr>
            <w:r>
              <w:rPr>
                <w:sz w:val="20"/>
                <w:szCs w:val="20"/>
                <w:lang w:val="en-GB" w:eastAsia="en-US"/>
              </w:rPr>
              <w:t>The Commission also made available the presentations given at the ECFIN workshop of 17 November 2014 in Brussels.</w:t>
            </w:r>
          </w:p>
          <w:p w:rsidR="004B4701" w:rsidRDefault="004B4701">
            <w:pPr>
              <w:pStyle w:val="Lijstalinea"/>
              <w:spacing w:line="276" w:lineRule="auto"/>
              <w:ind w:left="426"/>
              <w:rPr>
                <w:sz w:val="20"/>
                <w:szCs w:val="20"/>
                <w:lang w:val="en-GB" w:eastAsia="en-US"/>
              </w:rPr>
            </w:pPr>
          </w:p>
          <w:p w:rsidR="004B4701" w:rsidRDefault="004B4701" w:rsidP="002549E1">
            <w:pPr>
              <w:pStyle w:val="Lijstalinea"/>
              <w:numPr>
                <w:ilvl w:val="0"/>
                <w:numId w:val="2"/>
              </w:numPr>
              <w:spacing w:line="276" w:lineRule="auto"/>
              <w:jc w:val="both"/>
              <w:rPr>
                <w:rStyle w:val="Hyperlink"/>
                <w:lang w:val="en-US"/>
              </w:rPr>
            </w:pPr>
            <w:hyperlink r:id="rId14" w:history="1">
              <w:r>
                <w:rPr>
                  <w:rStyle w:val="Hyperlink"/>
                  <w:sz w:val="20"/>
                  <w:szCs w:val="20"/>
                  <w:lang w:val="en-GB" w:eastAsia="en-US"/>
                </w:rPr>
                <w:t>Review on wealth taxation</w:t>
              </w:r>
            </w:hyperlink>
          </w:p>
          <w:p w:rsidR="004B4701" w:rsidRDefault="004B4701" w:rsidP="002549E1">
            <w:pPr>
              <w:pStyle w:val="Lijstalinea"/>
              <w:numPr>
                <w:ilvl w:val="0"/>
                <w:numId w:val="2"/>
              </w:numPr>
              <w:spacing w:line="276" w:lineRule="auto"/>
              <w:rPr>
                <w:lang w:val="en-GB"/>
              </w:rPr>
            </w:pPr>
            <w:hyperlink r:id="rId15" w:history="1">
              <w:r>
                <w:rPr>
                  <w:rStyle w:val="Hyperlink"/>
                  <w:sz w:val="20"/>
                  <w:szCs w:val="20"/>
                  <w:lang w:val="en-GB" w:eastAsia="en-US"/>
                </w:rPr>
                <w:t>Presentations from ECFIN workshop, 17 November 2014</w:t>
              </w:r>
            </w:hyperlink>
          </w:p>
          <w:p w:rsidR="004B4701" w:rsidRDefault="004B4701">
            <w:pPr>
              <w:spacing w:line="276" w:lineRule="auto"/>
              <w:rPr>
                <w:rFonts w:ascii="Calibri" w:hAnsi="Calibri"/>
                <w:sz w:val="20"/>
                <w:szCs w:val="20"/>
                <w:lang w:val="en-GB" w:eastAsia="en-US"/>
              </w:rPr>
            </w:pPr>
          </w:p>
          <w:p w:rsidR="004B4701" w:rsidRDefault="004B4701">
            <w:pPr>
              <w:spacing w:line="276" w:lineRule="auto"/>
              <w:rPr>
                <w:rFonts w:ascii="Calibri" w:hAnsi="Calibri"/>
                <w:sz w:val="20"/>
                <w:szCs w:val="20"/>
                <w:lang w:val="en-GB" w:eastAsia="en-US"/>
              </w:rPr>
            </w:pPr>
          </w:p>
          <w:p w:rsidR="004B4701" w:rsidRDefault="004B4701" w:rsidP="002549E1">
            <w:pPr>
              <w:pStyle w:val="Lijstalinea"/>
              <w:numPr>
                <w:ilvl w:val="0"/>
                <w:numId w:val="1"/>
              </w:numPr>
              <w:spacing w:line="276" w:lineRule="auto"/>
              <w:rPr>
                <w:b/>
                <w:bCs/>
                <w:sz w:val="20"/>
                <w:szCs w:val="20"/>
                <w:lang w:val="en-GB" w:eastAsia="en-US"/>
              </w:rPr>
            </w:pPr>
            <w:r>
              <w:rPr>
                <w:b/>
                <w:bCs/>
                <w:sz w:val="20"/>
                <w:szCs w:val="20"/>
                <w:lang w:val="en-GB" w:eastAsia="en-US"/>
              </w:rPr>
              <w:t>Commission publishes study on effective tax rates in EU countries</w:t>
            </w:r>
          </w:p>
          <w:p w:rsidR="004B4701" w:rsidRDefault="004B4701">
            <w:pPr>
              <w:spacing w:line="276" w:lineRule="auto"/>
              <w:rPr>
                <w:rFonts w:ascii="Calibri" w:hAnsi="Calibri"/>
                <w:sz w:val="20"/>
                <w:szCs w:val="20"/>
                <w:lang w:val="en-GB" w:eastAsia="en-US"/>
              </w:rPr>
            </w:pPr>
          </w:p>
          <w:p w:rsidR="004B4701" w:rsidRDefault="004B4701">
            <w:pPr>
              <w:spacing w:line="276" w:lineRule="auto"/>
              <w:ind w:left="360"/>
              <w:rPr>
                <w:rFonts w:ascii="Calibri" w:hAnsi="Calibri"/>
                <w:sz w:val="20"/>
                <w:szCs w:val="20"/>
                <w:lang w:val="en-GB" w:eastAsia="en-US"/>
              </w:rPr>
            </w:pPr>
            <w:r>
              <w:rPr>
                <w:rFonts w:ascii="Calibri" w:hAnsi="Calibri"/>
                <w:sz w:val="20"/>
                <w:szCs w:val="20"/>
                <w:lang w:val="en-GB" w:eastAsia="en-US"/>
              </w:rPr>
              <w:t>On the same day, the European Commission published a study by the German think tank ZEW (</w:t>
            </w:r>
            <w:proofErr w:type="spellStart"/>
            <w:r>
              <w:rPr>
                <w:rFonts w:ascii="Calibri" w:hAnsi="Calibri"/>
                <w:sz w:val="20"/>
                <w:szCs w:val="20"/>
                <w:lang w:val="en-GB" w:eastAsia="en-US"/>
              </w:rPr>
              <w:t>Zentrum</w:t>
            </w:r>
            <w:proofErr w:type="spellEnd"/>
            <w:r>
              <w:rPr>
                <w:rFonts w:ascii="Calibri" w:hAnsi="Calibri"/>
                <w:sz w:val="20"/>
                <w:szCs w:val="20"/>
                <w:lang w:val="en-GB" w:eastAsia="en-US"/>
              </w:rPr>
              <w:t xml:space="preserve"> </w:t>
            </w:r>
            <w:proofErr w:type="spellStart"/>
            <w:r>
              <w:rPr>
                <w:rFonts w:ascii="Calibri" w:hAnsi="Calibri"/>
                <w:sz w:val="20"/>
                <w:szCs w:val="20"/>
                <w:lang w:val="en-GB" w:eastAsia="en-US"/>
              </w:rPr>
              <w:t>für</w:t>
            </w:r>
            <w:proofErr w:type="spellEnd"/>
            <w:r>
              <w:rPr>
                <w:rFonts w:ascii="Calibri" w:hAnsi="Calibri"/>
                <w:sz w:val="20"/>
                <w:szCs w:val="20"/>
                <w:lang w:val="en-GB" w:eastAsia="en-US"/>
              </w:rPr>
              <w:t xml:space="preserve"> </w:t>
            </w:r>
            <w:proofErr w:type="spellStart"/>
            <w:r>
              <w:rPr>
                <w:rFonts w:ascii="Calibri" w:hAnsi="Calibri"/>
                <w:sz w:val="20"/>
                <w:szCs w:val="20"/>
                <w:lang w:val="en-GB" w:eastAsia="en-US"/>
              </w:rPr>
              <w:t>Europäische</w:t>
            </w:r>
            <w:proofErr w:type="spellEnd"/>
            <w:r>
              <w:rPr>
                <w:rFonts w:ascii="Calibri" w:hAnsi="Calibri"/>
                <w:sz w:val="20"/>
                <w:szCs w:val="20"/>
                <w:lang w:val="en-GB" w:eastAsia="en-US"/>
              </w:rPr>
              <w:t xml:space="preserve"> </w:t>
            </w:r>
            <w:proofErr w:type="spellStart"/>
            <w:r>
              <w:rPr>
                <w:rFonts w:ascii="Calibri" w:hAnsi="Calibri"/>
                <w:sz w:val="20"/>
                <w:szCs w:val="20"/>
                <w:lang w:val="en-GB" w:eastAsia="en-US"/>
              </w:rPr>
              <w:t>Wirtschaftsforschung</w:t>
            </w:r>
            <w:proofErr w:type="spellEnd"/>
            <w:r>
              <w:rPr>
                <w:rFonts w:ascii="Calibri" w:hAnsi="Calibri"/>
                <w:sz w:val="20"/>
                <w:szCs w:val="20"/>
                <w:lang w:val="en-GB" w:eastAsia="en-US"/>
              </w:rPr>
              <w:t xml:space="preserve"> / Centre for European Economic Research) on the effective tax rates in EU countries, including also Canada, Japan, Macedonia, Norway, Switzerland, Turkey and the United States. The report considers primarily taxes on corporations, but also includes analyses of personal taxes on investment and saving. It also considers both cross-border investment and investment by small and medium sized enterprises.</w:t>
            </w:r>
          </w:p>
          <w:p w:rsidR="004B4701" w:rsidRDefault="004B4701">
            <w:pPr>
              <w:spacing w:line="276" w:lineRule="auto"/>
              <w:ind w:left="360"/>
              <w:rPr>
                <w:rFonts w:ascii="Calibri" w:hAnsi="Calibri"/>
                <w:sz w:val="20"/>
                <w:szCs w:val="20"/>
                <w:lang w:val="en-GB" w:eastAsia="en-US"/>
              </w:rPr>
            </w:pPr>
          </w:p>
          <w:p w:rsidR="004B4701" w:rsidRDefault="004B4701" w:rsidP="002549E1">
            <w:pPr>
              <w:pStyle w:val="Lijstalinea"/>
              <w:numPr>
                <w:ilvl w:val="0"/>
                <w:numId w:val="2"/>
              </w:numPr>
              <w:spacing w:line="276" w:lineRule="auto"/>
              <w:rPr>
                <w:sz w:val="20"/>
                <w:szCs w:val="20"/>
                <w:lang w:val="en-GB" w:eastAsia="en-US"/>
              </w:rPr>
            </w:pPr>
            <w:hyperlink r:id="rId16" w:history="1">
              <w:r>
                <w:rPr>
                  <w:rStyle w:val="Hyperlink"/>
                  <w:sz w:val="20"/>
                  <w:szCs w:val="20"/>
                  <w:lang w:val="en-GB" w:eastAsia="en-US"/>
                </w:rPr>
                <w:t>ZEW report on effective tax rates</w:t>
              </w:r>
            </w:hyperlink>
          </w:p>
          <w:p w:rsidR="004B4701" w:rsidRDefault="004B4701">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4B4701" w:rsidRDefault="004B4701">
            <w:pPr>
              <w:spacing w:line="276" w:lineRule="auto"/>
              <w:jc w:val="both"/>
              <w:rPr>
                <w:rFonts w:ascii="Calibri" w:hAnsi="Calibri"/>
                <w:sz w:val="20"/>
                <w:szCs w:val="20"/>
                <w:lang w:val="en-GB" w:eastAsia="en-US"/>
              </w:rPr>
            </w:pPr>
          </w:p>
          <w:p w:rsidR="004B4701" w:rsidRDefault="004B4701">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4B4701" w:rsidRDefault="004B4701">
            <w:pPr>
              <w:pStyle w:val="Lijstalinea"/>
              <w:spacing w:line="276" w:lineRule="auto"/>
              <w:ind w:left="126"/>
              <w:jc w:val="center"/>
              <w:rPr>
                <w:i/>
                <w:iCs/>
                <w:sz w:val="20"/>
                <w:szCs w:val="20"/>
                <w:lang w:val="en-GB" w:eastAsia="en-US"/>
              </w:rPr>
            </w:pPr>
          </w:p>
          <w:p w:rsidR="004B4701" w:rsidRDefault="004B4701">
            <w:pPr>
              <w:pStyle w:val="Lijstalinea"/>
              <w:spacing w:line="276" w:lineRule="auto"/>
              <w:ind w:left="126"/>
              <w:jc w:val="center"/>
              <w:rPr>
                <w:rStyle w:val="Hyperlink"/>
                <w:lang w:val="en-US"/>
              </w:rPr>
            </w:pPr>
            <w:hyperlink r:id="rId17" w:history="1">
              <w:r>
                <w:rPr>
                  <w:rStyle w:val="Hyperlink"/>
                  <w:i/>
                  <w:iCs/>
                  <w:sz w:val="20"/>
                  <w:szCs w:val="20"/>
                  <w:lang w:val="en-GB" w:eastAsia="en-US"/>
                </w:rPr>
                <w:t>www.cfe-eutax.org</w:t>
              </w:r>
            </w:hyperlink>
          </w:p>
          <w:p w:rsidR="004B4701" w:rsidRDefault="004B4701">
            <w:pPr>
              <w:pStyle w:val="Lijstalinea"/>
              <w:spacing w:line="276" w:lineRule="auto"/>
              <w:ind w:left="126"/>
              <w:jc w:val="center"/>
              <w:rPr>
                <w:rStyle w:val="Hyperlink"/>
                <w:i/>
                <w:iCs/>
                <w:sz w:val="20"/>
                <w:szCs w:val="20"/>
                <w:lang w:val="en-GB" w:eastAsia="en-US"/>
              </w:rPr>
            </w:pPr>
          </w:p>
          <w:p w:rsidR="004B4701" w:rsidRDefault="004B4701">
            <w:pPr>
              <w:pStyle w:val="Lijstalinea"/>
              <w:spacing w:line="276" w:lineRule="auto"/>
              <w:ind w:left="126"/>
              <w:jc w:val="center"/>
              <w:rPr>
                <w:lang w:val="en-US"/>
              </w:rPr>
            </w:pPr>
            <w:r>
              <w:rPr>
                <w:i/>
                <w:iCs/>
                <w:sz w:val="20"/>
                <w:szCs w:val="20"/>
                <w:lang w:val="en-US" w:eastAsia="en-US"/>
              </w:rPr>
              <w:t xml:space="preserve">Follow us on </w:t>
            </w:r>
            <w:hyperlink r:id="rId18"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AA5C.15EA18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eastAsia="en-US"/>
              </w:rPr>
              <w:t> </w:t>
            </w:r>
          </w:p>
        </w:tc>
      </w:tr>
      <w:tr w:rsidR="004B4701" w:rsidTr="004B4701">
        <w:trPr>
          <w:tblCellSpacing w:w="0" w:type="dxa"/>
        </w:trPr>
        <w:tc>
          <w:tcPr>
            <w:tcW w:w="8154" w:type="dxa"/>
            <w:tcBorders>
              <w:top w:val="nil"/>
              <w:left w:val="nil"/>
              <w:bottom w:val="nil"/>
              <w:right w:val="nil"/>
            </w:tcBorders>
            <w:tcMar>
              <w:top w:w="375" w:type="dxa"/>
              <w:left w:w="300" w:type="dxa"/>
              <w:bottom w:w="300" w:type="dxa"/>
              <w:right w:w="300" w:type="dxa"/>
            </w:tcMar>
            <w:vAlign w:val="center"/>
          </w:tcPr>
          <w:p w:rsidR="004B4701" w:rsidRDefault="004B4701">
            <w:pPr>
              <w:spacing w:line="276" w:lineRule="auto"/>
              <w:jc w:val="both"/>
              <w:rPr>
                <w:rFonts w:ascii="Calibri" w:hAnsi="Calibri"/>
                <w:sz w:val="20"/>
                <w:szCs w:val="20"/>
                <w:lang w:val="en-US" w:eastAsia="en-US"/>
              </w:rPr>
            </w:pPr>
          </w:p>
        </w:tc>
      </w:tr>
    </w:tbl>
    <w:p w:rsidR="004B4701" w:rsidRDefault="004B4701" w:rsidP="004B4701">
      <w:pPr>
        <w:rPr>
          <w:lang w:val="en-US"/>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7D6"/>
    <w:multiLevelType w:val="hybridMultilevel"/>
    <w:tmpl w:val="F23471B0"/>
    <w:lvl w:ilvl="0" w:tplc="DA80F4F8">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4B1A6951"/>
    <w:multiLevelType w:val="hybridMultilevel"/>
    <w:tmpl w:val="3C226E86"/>
    <w:lvl w:ilvl="0" w:tplc="B04E1EF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01"/>
    <w:rsid w:val="004B4701"/>
    <w:rsid w:val="0066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70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B4701"/>
    <w:rPr>
      <w:color w:val="0000FF"/>
      <w:u w:val="single"/>
    </w:rPr>
  </w:style>
  <w:style w:type="paragraph" w:styleId="Lijstalinea">
    <w:name w:val="List Paragraph"/>
    <w:basedOn w:val="Standaard"/>
    <w:uiPriority w:val="34"/>
    <w:qFormat/>
    <w:rsid w:val="004B4701"/>
    <w:pPr>
      <w:ind w:left="720"/>
    </w:pPr>
    <w:rPr>
      <w:rFonts w:ascii="Calibri" w:hAnsi="Calibri"/>
      <w:sz w:val="22"/>
      <w:szCs w:val="22"/>
    </w:rPr>
  </w:style>
  <w:style w:type="paragraph" w:styleId="Ballontekst">
    <w:name w:val="Balloon Text"/>
    <w:basedOn w:val="Standaard"/>
    <w:link w:val="BallontekstChar"/>
    <w:uiPriority w:val="99"/>
    <w:semiHidden/>
    <w:unhideWhenUsed/>
    <w:rsid w:val="004B4701"/>
    <w:rPr>
      <w:rFonts w:ascii="Tahoma" w:hAnsi="Tahoma" w:cs="Tahoma"/>
      <w:sz w:val="16"/>
      <w:szCs w:val="16"/>
    </w:rPr>
  </w:style>
  <w:style w:type="character" w:customStyle="1" w:styleId="BallontekstChar">
    <w:name w:val="Ballontekst Char"/>
    <w:basedOn w:val="Standaardalinea-lettertype"/>
    <w:link w:val="Ballontekst"/>
    <w:uiPriority w:val="99"/>
    <w:semiHidden/>
    <w:rsid w:val="004B4701"/>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70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B4701"/>
    <w:rPr>
      <w:color w:val="0000FF"/>
      <w:u w:val="single"/>
    </w:rPr>
  </w:style>
  <w:style w:type="paragraph" w:styleId="Lijstalinea">
    <w:name w:val="List Paragraph"/>
    <w:basedOn w:val="Standaard"/>
    <w:uiPriority w:val="34"/>
    <w:qFormat/>
    <w:rsid w:val="004B4701"/>
    <w:pPr>
      <w:ind w:left="720"/>
    </w:pPr>
    <w:rPr>
      <w:rFonts w:ascii="Calibri" w:hAnsi="Calibri"/>
      <w:sz w:val="22"/>
      <w:szCs w:val="22"/>
    </w:rPr>
  </w:style>
  <w:style w:type="paragraph" w:styleId="Ballontekst">
    <w:name w:val="Balloon Text"/>
    <w:basedOn w:val="Standaard"/>
    <w:link w:val="BallontekstChar"/>
    <w:uiPriority w:val="99"/>
    <w:semiHidden/>
    <w:unhideWhenUsed/>
    <w:rsid w:val="004B4701"/>
    <w:rPr>
      <w:rFonts w:ascii="Tahoma" w:hAnsi="Tahoma" w:cs="Tahoma"/>
      <w:sz w:val="16"/>
      <w:szCs w:val="16"/>
    </w:rPr>
  </w:style>
  <w:style w:type="character" w:customStyle="1" w:styleId="BallontekstChar">
    <w:name w:val="Ballontekst Char"/>
    <w:basedOn w:val="Standaardalinea-lettertype"/>
    <w:link w:val="Ballontekst"/>
    <w:uiPriority w:val="99"/>
    <w:semiHidden/>
    <w:rsid w:val="004B4701"/>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itzerland-takes-important-step-to-boost-international-cooperation-against-tax-evasion" TargetMode="External"/><Relationship Id="rId13" Type="http://schemas.openxmlformats.org/officeDocument/2006/relationships/hyperlink" Target="http://www.oecd.org/tax/preventing-the-granting-of-treaty-benefits-in-inappropriate-circumstances-9789264219120-en.htm" TargetMode="External"/><Relationship Id="rId18" Type="http://schemas.openxmlformats.org/officeDocument/2006/relationships/hyperlink" Target="http://www.linkedin.com/company/confederation-fiscal-europeene?trk=company_nam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cid:image002.jpg@01D007EA.7A58B540" TargetMode="External"/><Relationship Id="rId12" Type="http://schemas.openxmlformats.org/officeDocument/2006/relationships/hyperlink" Target="http://www.oecd.org/ctp/treaties/discussion-draft-action-6-follow-up-prevent-treaty-abuse.pdf" TargetMode="External"/><Relationship Id="rId17" Type="http://schemas.openxmlformats.org/officeDocument/2006/relationships/hyperlink" Target="http://www.cfe-eutax.org" TargetMode="External"/><Relationship Id="rId2" Type="http://schemas.openxmlformats.org/officeDocument/2006/relationships/styles" Target="styles.xml"/><Relationship Id="rId16" Type="http://schemas.openxmlformats.org/officeDocument/2006/relationships/hyperlink" Target="http://ec.europa.eu/taxation_customs/resources/documents/common/publications/studies/final_report_2014_taxud_2013_cc_120.pdf" TargetMode="External"/><Relationship Id="rId20" Type="http://schemas.openxmlformats.org/officeDocument/2006/relationships/image" Target="cid:image004.png@01CFAA5C.15EA18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ecd.org/tax/treaties/discussion-draft-action-6-follow-up-prevent-treaty-abuse.htm" TargetMode="External"/><Relationship Id="rId5" Type="http://schemas.openxmlformats.org/officeDocument/2006/relationships/webSettings" Target="webSettings.xml"/><Relationship Id="rId15" Type="http://schemas.openxmlformats.org/officeDocument/2006/relationships/hyperlink" Target="http://ec.europa.eu/economy_finance/events/2014/20141113-taxation/index_en.htm" TargetMode="External"/><Relationship Id="rId10" Type="http://schemas.openxmlformats.org/officeDocument/2006/relationships/hyperlink" Target="http://www.oecd.org/tax/exchange-of-tax-information/multilateral-competent-authority-agreement.ht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ecd.org/fr/presse/la-suisse-fait-un-pas-important-pour-appuyer-la-cooperation-internationale-contre-la-fraude-fiscale.htm" TargetMode="External"/><Relationship Id="rId14" Type="http://schemas.openxmlformats.org/officeDocument/2006/relationships/hyperlink" Target="http://ec.europa.eu/taxation_customs/resources/documents/common/publications/studies/2014_eu_wealth_tax_project_finale_report.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68CF33AE</Template>
  <TotalTime>0</TotalTime>
  <Pages>2</Pages>
  <Words>641</Words>
  <Characters>3529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2015-01-13T09:24:00Z</dcterms:created>
  <dcterms:modified xsi:type="dcterms:W3CDTF">2015-01-13T09:24:00Z</dcterms:modified>
</cp:coreProperties>
</file>