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72" w:type="dxa"/>
        <w:tblCellSpacing w:w="0" w:type="dxa"/>
        <w:tblBorders>
          <w:top w:val="single" w:sz="48" w:space="0" w:color="000099"/>
          <w:left w:val="single" w:sz="48" w:space="0" w:color="000099"/>
          <w:bottom w:val="single" w:sz="48" w:space="0" w:color="000099"/>
          <w:right w:val="single" w:sz="48" w:space="0" w:color="000099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72"/>
      </w:tblGrid>
      <w:tr w:rsidR="00205CB6" w:rsidTr="00205CB6">
        <w:trPr>
          <w:trHeight w:val="19643"/>
          <w:tblCellSpacing w:w="0" w:type="dxa"/>
        </w:trPr>
        <w:tc>
          <w:tcPr>
            <w:tcW w:w="10172" w:type="dxa"/>
            <w:tcBorders>
              <w:top w:val="nil"/>
              <w:left w:val="nil"/>
              <w:bottom w:val="nil"/>
              <w:right w:val="nil"/>
            </w:tcBorders>
            <w:tcMar>
              <w:top w:w="375" w:type="dxa"/>
              <w:left w:w="300" w:type="dxa"/>
              <w:bottom w:w="300" w:type="dxa"/>
              <w:right w:w="300" w:type="dxa"/>
            </w:tcMar>
            <w:vAlign w:val="center"/>
          </w:tcPr>
          <w:tbl>
            <w:tblPr>
              <w:tblW w:w="9096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90"/>
              <w:gridCol w:w="6"/>
            </w:tblGrid>
            <w:tr w:rsidR="00205CB6">
              <w:trPr>
                <w:trHeight w:val="1029"/>
                <w:tblCellSpacing w:w="0" w:type="dxa"/>
              </w:trPr>
              <w:tc>
                <w:tcPr>
                  <w:tcW w:w="9090" w:type="dxa"/>
                  <w:vAlign w:val="center"/>
                  <w:hideMark/>
                </w:tcPr>
                <w:p w:rsidR="00205CB6" w:rsidRDefault="00205CB6">
                  <w:pPr>
                    <w:spacing w:line="276" w:lineRule="auto"/>
                    <w:jc w:val="both"/>
                    <w:rPr>
                      <w:rFonts w:ascii="Calibri" w:hAnsi="Calibr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Calibri" w:hAnsi="Calibri"/>
                      <w:noProof/>
                      <w:sz w:val="20"/>
                      <w:szCs w:val="20"/>
                    </w:rPr>
                    <w:drawing>
                      <wp:inline distT="0" distB="0" distL="0" distR="0" wp14:anchorId="03FD272C" wp14:editId="21D47BA2">
                        <wp:extent cx="5762625" cy="666750"/>
                        <wp:effectExtent l="0" t="0" r="9525" b="0"/>
                        <wp:docPr id="2" name="Afbeelding 2" descr="cid:image002.jpg@01D00298.1AA65FA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id:image002.jpg@01D00298.1AA65FA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r:link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62625" cy="666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</w:tcPr>
                <w:p w:rsidR="00205CB6" w:rsidRDefault="00205CB6">
                  <w:pPr>
                    <w:spacing w:line="276" w:lineRule="auto"/>
                    <w:jc w:val="both"/>
                    <w:rPr>
                      <w:rFonts w:ascii="Calibri" w:hAnsi="Calibri"/>
                      <w:color w:val="ACABAB"/>
                      <w:sz w:val="20"/>
                      <w:szCs w:val="20"/>
                      <w:lang w:eastAsia="en-US"/>
                    </w:rPr>
                  </w:pPr>
                </w:p>
                <w:p w:rsidR="00205CB6" w:rsidRDefault="00205CB6">
                  <w:pPr>
                    <w:spacing w:line="276" w:lineRule="auto"/>
                    <w:jc w:val="both"/>
                    <w:rPr>
                      <w:rFonts w:ascii="Calibri" w:hAnsi="Calibri"/>
                      <w:color w:val="ACABAB"/>
                      <w:sz w:val="20"/>
                      <w:szCs w:val="20"/>
                      <w:lang w:eastAsia="en-US"/>
                    </w:rPr>
                  </w:pPr>
                </w:p>
              </w:tc>
            </w:tr>
          </w:tbl>
          <w:p w:rsidR="00205CB6" w:rsidRDefault="00205CB6">
            <w:pPr>
              <w:spacing w:line="276" w:lineRule="auto"/>
              <w:jc w:val="both"/>
              <w:rPr>
                <w:rFonts w:ascii="Calibri" w:hAnsi="Calibri"/>
                <w:b/>
                <w:bCs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Calibri" w:hAnsi="Calibri"/>
                <w:b/>
                <w:bCs/>
                <w:sz w:val="20"/>
                <w:szCs w:val="20"/>
                <w:lang w:eastAsia="en-US"/>
              </w:rPr>
              <w:t>Fiscal</w:t>
            </w:r>
            <w:proofErr w:type="spellEnd"/>
            <w:r>
              <w:rPr>
                <w:rFonts w:ascii="Calibri" w:hAnsi="Calibri"/>
                <w:b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sz w:val="20"/>
                <w:szCs w:val="20"/>
                <w:lang w:eastAsia="en-US"/>
              </w:rPr>
              <w:t>Committee</w:t>
            </w:r>
            <w:proofErr w:type="spellEnd"/>
          </w:p>
          <w:p w:rsidR="00205CB6" w:rsidRDefault="00205CB6">
            <w:pPr>
              <w:shd w:val="clear" w:color="auto" w:fill="FEFEFE"/>
              <w:spacing w:line="276" w:lineRule="auto"/>
              <w:ind w:right="2925"/>
              <w:jc w:val="both"/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" w:eastAsia="fr-BE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"/>
              </w:rPr>
      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      </w:r>
          </w:p>
          <w:p w:rsidR="00205CB6" w:rsidRDefault="00205CB6">
            <w:pPr>
              <w:shd w:val="clear" w:color="auto" w:fill="FEFEFE"/>
              <w:spacing w:line="276" w:lineRule="auto"/>
              <w:ind w:left="7371"/>
              <w:jc w:val="both"/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"/>
              </w:rPr>
              <w:t>17 November 2014</w:t>
            </w:r>
          </w:p>
          <w:p w:rsidR="00205CB6" w:rsidRDefault="00205CB6">
            <w:pPr>
              <w:pStyle w:val="Lijstalinea"/>
              <w:spacing w:line="276" w:lineRule="auto"/>
              <w:jc w:val="both"/>
            </w:pPr>
          </w:p>
          <w:p w:rsidR="00205CB6" w:rsidRDefault="00205CB6">
            <w:pPr>
              <w:pStyle w:val="Lijstalinea"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</w:p>
          <w:p w:rsidR="00205CB6" w:rsidRDefault="00205CB6" w:rsidP="002549E1">
            <w:pPr>
              <w:pStyle w:val="Lijstalinea"/>
              <w:numPr>
                <w:ilvl w:val="0"/>
                <w:numId w:val="1"/>
              </w:num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UK </w:t>
            </w:r>
            <w:proofErr w:type="spellStart"/>
            <w:r>
              <w:rPr>
                <w:b/>
                <w:bCs/>
                <w:sz w:val="20"/>
                <w:szCs w:val="20"/>
              </w:rPr>
              <w:t>and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Germany </w:t>
            </w:r>
            <w:proofErr w:type="spellStart"/>
            <w:r>
              <w:rPr>
                <w:b/>
                <w:bCs/>
                <w:sz w:val="20"/>
                <w:szCs w:val="20"/>
              </w:rPr>
              <w:t>reach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compromise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over patent </w:t>
            </w:r>
            <w:proofErr w:type="spellStart"/>
            <w:r>
              <w:rPr>
                <w:b/>
                <w:bCs/>
                <w:sz w:val="20"/>
                <w:szCs w:val="20"/>
              </w:rPr>
              <w:t>boxes</w:t>
            </w:r>
            <w:proofErr w:type="spellEnd"/>
          </w:p>
          <w:p w:rsidR="00205CB6" w:rsidRDefault="00205CB6">
            <w:pPr>
              <w:pStyle w:val="Lijstalinea"/>
              <w:spacing w:line="276" w:lineRule="auto"/>
              <w:ind w:left="426"/>
              <w:rPr>
                <w:sz w:val="20"/>
                <w:szCs w:val="20"/>
              </w:rPr>
            </w:pPr>
          </w:p>
          <w:p w:rsidR="00205CB6" w:rsidRDefault="00205CB6">
            <w:pPr>
              <w:pStyle w:val="Lijstalinea"/>
              <w:spacing w:line="276" w:lineRule="auto"/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</w:t>
            </w:r>
            <w:proofErr w:type="spellStart"/>
            <w:r>
              <w:rPr>
                <w:sz w:val="20"/>
                <w:szCs w:val="20"/>
              </w:rPr>
              <w:t>finance</w:t>
            </w:r>
            <w:proofErr w:type="spellEnd"/>
            <w:r>
              <w:rPr>
                <w:sz w:val="20"/>
                <w:szCs w:val="20"/>
              </w:rPr>
              <w:t xml:space="preserve"> ministers of Germany </w:t>
            </w:r>
            <w:proofErr w:type="spellStart"/>
            <w:r>
              <w:rPr>
                <w:sz w:val="20"/>
                <w:szCs w:val="20"/>
              </w:rPr>
              <w:t>and</w:t>
            </w:r>
            <w:proofErr w:type="spellEnd"/>
            <w:r>
              <w:rPr>
                <w:sz w:val="20"/>
                <w:szCs w:val="20"/>
              </w:rPr>
              <w:t xml:space="preserve"> the UK have </w:t>
            </w:r>
            <w:proofErr w:type="spellStart"/>
            <w:r>
              <w:rPr>
                <w:sz w:val="20"/>
                <w:szCs w:val="20"/>
              </w:rPr>
              <w:t>reached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</w:t>
            </w:r>
            <w:proofErr w:type="spellEnd"/>
            <w:r>
              <w:rPr>
                <w:sz w:val="20"/>
                <w:szCs w:val="20"/>
              </w:rPr>
              <w:t xml:space="preserve"> agreement </w:t>
            </w:r>
            <w:proofErr w:type="spellStart"/>
            <w:r>
              <w:rPr>
                <w:sz w:val="20"/>
                <w:szCs w:val="20"/>
              </w:rPr>
              <w:t>not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extent</w:t>
            </w:r>
            <w:proofErr w:type="spellEnd"/>
            <w:r>
              <w:rPr>
                <w:sz w:val="20"/>
                <w:szCs w:val="20"/>
              </w:rPr>
              <w:t xml:space="preserve"> special regimes </w:t>
            </w:r>
            <w:proofErr w:type="spellStart"/>
            <w:r>
              <w:rPr>
                <w:sz w:val="20"/>
                <w:szCs w:val="20"/>
              </w:rPr>
              <w:t>providing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for</w:t>
            </w:r>
            <w:proofErr w:type="spellEnd"/>
            <w:r>
              <w:rPr>
                <w:sz w:val="20"/>
                <w:szCs w:val="20"/>
              </w:rPr>
              <w:t xml:space="preserve"> low </w:t>
            </w:r>
            <w:proofErr w:type="spellStart"/>
            <w:r>
              <w:rPr>
                <w:sz w:val="20"/>
                <w:szCs w:val="20"/>
              </w:rPr>
              <w:t>taxation</w:t>
            </w:r>
            <w:proofErr w:type="spellEnd"/>
            <w:r>
              <w:rPr>
                <w:sz w:val="20"/>
                <w:szCs w:val="20"/>
              </w:rPr>
              <w:t xml:space="preserve"> of </w:t>
            </w:r>
            <w:proofErr w:type="spellStart"/>
            <w:r>
              <w:rPr>
                <w:sz w:val="20"/>
                <w:szCs w:val="20"/>
              </w:rPr>
              <w:t>income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from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intellectual</w:t>
            </w:r>
            <w:proofErr w:type="spellEnd"/>
            <w:r>
              <w:rPr>
                <w:sz w:val="20"/>
                <w:szCs w:val="20"/>
              </w:rPr>
              <w:t xml:space="preserve"> property (</w:t>
            </w:r>
            <w:proofErr w:type="spellStart"/>
            <w:r>
              <w:rPr>
                <w:sz w:val="20"/>
                <w:szCs w:val="20"/>
              </w:rPr>
              <w:t>so-called</w:t>
            </w:r>
            <w:proofErr w:type="spellEnd"/>
            <w:r>
              <w:rPr>
                <w:sz w:val="20"/>
                <w:szCs w:val="20"/>
              </w:rPr>
              <w:t xml:space="preserve"> patent </w:t>
            </w:r>
            <w:proofErr w:type="spellStart"/>
            <w:r>
              <w:rPr>
                <w:sz w:val="20"/>
                <w:szCs w:val="20"/>
              </w:rPr>
              <w:t>boxes</w:t>
            </w:r>
            <w:proofErr w:type="spellEnd"/>
            <w:r>
              <w:rPr>
                <w:sz w:val="20"/>
                <w:szCs w:val="20"/>
              </w:rPr>
              <w:t xml:space="preserve">) </w:t>
            </w:r>
            <w:proofErr w:type="spellStart"/>
            <w:r>
              <w:rPr>
                <w:sz w:val="20"/>
                <w:szCs w:val="20"/>
              </w:rPr>
              <w:t>beyond</w:t>
            </w:r>
            <w:proofErr w:type="spellEnd"/>
            <w:r>
              <w:rPr>
                <w:sz w:val="20"/>
                <w:szCs w:val="20"/>
              </w:rPr>
              <w:t xml:space="preserve"> 2020, </w:t>
            </w:r>
            <w:proofErr w:type="spellStart"/>
            <w:r>
              <w:rPr>
                <w:sz w:val="20"/>
                <w:szCs w:val="20"/>
              </w:rPr>
              <w:t>according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to</w:t>
            </w:r>
            <w:proofErr w:type="spellEnd"/>
            <w:r>
              <w:rPr>
                <w:sz w:val="20"/>
                <w:szCs w:val="20"/>
              </w:rPr>
              <w:t xml:space="preserve"> media </w:t>
            </w:r>
            <w:proofErr w:type="spellStart"/>
            <w:r>
              <w:rPr>
                <w:sz w:val="20"/>
                <w:szCs w:val="20"/>
              </w:rPr>
              <w:t>reports</w:t>
            </w:r>
            <w:proofErr w:type="spellEnd"/>
            <w:r>
              <w:rPr>
                <w:sz w:val="20"/>
                <w:szCs w:val="20"/>
              </w:rPr>
              <w:t xml:space="preserve">. The UK has </w:t>
            </w:r>
            <w:proofErr w:type="spellStart"/>
            <w:r>
              <w:rPr>
                <w:sz w:val="20"/>
                <w:szCs w:val="20"/>
              </w:rPr>
              <w:t>introduced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such</w:t>
            </w:r>
            <w:proofErr w:type="spellEnd"/>
            <w:r>
              <w:rPr>
                <w:sz w:val="20"/>
                <w:szCs w:val="20"/>
              </w:rPr>
              <w:t xml:space="preserve"> tax incentive in 2013. In the </w:t>
            </w:r>
            <w:proofErr w:type="spellStart"/>
            <w:r>
              <w:rPr>
                <w:sz w:val="20"/>
                <w:szCs w:val="20"/>
              </w:rPr>
              <w:t>future</w:t>
            </w:r>
            <w:proofErr w:type="spellEnd"/>
            <w:r>
              <w:rPr>
                <w:sz w:val="20"/>
                <w:szCs w:val="20"/>
              </w:rPr>
              <w:t xml:space="preserve">, the </w:t>
            </w:r>
            <w:proofErr w:type="spellStart"/>
            <w:r>
              <w:rPr>
                <w:sz w:val="20"/>
                <w:szCs w:val="20"/>
              </w:rPr>
              <w:t>use</w:t>
            </w:r>
            <w:proofErr w:type="spellEnd"/>
            <w:r>
              <w:rPr>
                <w:sz w:val="20"/>
                <w:szCs w:val="20"/>
              </w:rPr>
              <w:t xml:space="preserve"> of patent </w:t>
            </w:r>
            <w:proofErr w:type="spellStart"/>
            <w:r>
              <w:rPr>
                <w:sz w:val="20"/>
                <w:szCs w:val="20"/>
              </w:rPr>
              <w:t>boxes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should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require</w:t>
            </w:r>
            <w:proofErr w:type="spellEnd"/>
            <w:r>
              <w:rPr>
                <w:sz w:val="20"/>
                <w:szCs w:val="20"/>
              </w:rPr>
              <w:t xml:space="preserve"> more </w:t>
            </w:r>
            <w:proofErr w:type="spellStart"/>
            <w:r>
              <w:rPr>
                <w:sz w:val="20"/>
                <w:szCs w:val="20"/>
              </w:rPr>
              <w:t>economic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substance</w:t>
            </w:r>
            <w:proofErr w:type="spellEnd"/>
            <w:r>
              <w:rPr>
                <w:sz w:val="20"/>
                <w:szCs w:val="20"/>
              </w:rPr>
              <w:t xml:space="preserve"> in the country.</w:t>
            </w:r>
          </w:p>
          <w:p w:rsidR="00205CB6" w:rsidRDefault="00205CB6">
            <w:pPr>
              <w:pStyle w:val="Lijstalinea"/>
              <w:spacing w:line="276" w:lineRule="auto"/>
              <w:rPr>
                <w:sz w:val="20"/>
                <w:szCs w:val="20"/>
              </w:rPr>
            </w:pPr>
          </w:p>
          <w:p w:rsidR="00205CB6" w:rsidRDefault="00205CB6" w:rsidP="002549E1">
            <w:pPr>
              <w:pStyle w:val="Lijstalinea"/>
              <w:numPr>
                <w:ilvl w:val="0"/>
                <w:numId w:val="2"/>
              </w:numPr>
              <w:spacing w:line="276" w:lineRule="auto"/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sz w:val="20"/>
                <w:szCs w:val="20"/>
              </w:rPr>
              <w:t xml:space="preserve">Financial Times </w:t>
            </w:r>
            <w:proofErr w:type="spellStart"/>
            <w:r>
              <w:rPr>
                <w:sz w:val="20"/>
                <w:szCs w:val="20"/>
              </w:rPr>
              <w:t>article</w:t>
            </w:r>
            <w:proofErr w:type="spellEnd"/>
            <w:r>
              <w:rPr>
                <w:sz w:val="20"/>
                <w:szCs w:val="20"/>
              </w:rPr>
              <w:t xml:space="preserve">, 12 November 2014: </w:t>
            </w:r>
            <w:hyperlink r:id="rId10" w:anchor="axzz3JLAruh3I" w:history="1">
              <w:r>
                <w:rPr>
                  <w:rStyle w:val="Hyperlink"/>
                  <w:sz w:val="20"/>
                  <w:szCs w:val="20"/>
                </w:rPr>
                <w:t>EN</w:t>
              </w:r>
            </w:hyperlink>
          </w:p>
          <w:p w:rsidR="00205CB6" w:rsidRDefault="00205CB6" w:rsidP="002549E1">
            <w:pPr>
              <w:pStyle w:val="Lijstalinea"/>
              <w:numPr>
                <w:ilvl w:val="0"/>
                <w:numId w:val="2"/>
              </w:numPr>
              <w:spacing w:line="276" w:lineRule="auto"/>
              <w:jc w:val="both"/>
            </w:pPr>
            <w:proofErr w:type="spellStart"/>
            <w:r>
              <w:rPr>
                <w:rStyle w:val="Hyperlink"/>
                <w:color w:val="auto"/>
                <w:sz w:val="20"/>
                <w:szCs w:val="20"/>
                <w:u w:val="none"/>
              </w:rPr>
              <w:t>Handelsblatt</w:t>
            </w:r>
            <w:proofErr w:type="spellEnd"/>
            <w:r>
              <w:rPr>
                <w:rStyle w:val="Hyperlink"/>
                <w:color w:val="auto"/>
                <w:sz w:val="20"/>
                <w:szCs w:val="20"/>
                <w:u w:val="none"/>
              </w:rPr>
              <w:t xml:space="preserve"> </w:t>
            </w:r>
            <w:proofErr w:type="spellStart"/>
            <w:r>
              <w:rPr>
                <w:rStyle w:val="Hyperlink"/>
                <w:color w:val="auto"/>
                <w:sz w:val="20"/>
                <w:szCs w:val="20"/>
                <w:u w:val="none"/>
              </w:rPr>
              <w:t>article</w:t>
            </w:r>
            <w:proofErr w:type="spellEnd"/>
            <w:r>
              <w:rPr>
                <w:rStyle w:val="Hyperlink"/>
                <w:color w:val="auto"/>
                <w:sz w:val="20"/>
                <w:szCs w:val="20"/>
                <w:u w:val="none"/>
              </w:rPr>
              <w:t xml:space="preserve">, 10 November 2014: </w:t>
            </w:r>
            <w:hyperlink r:id="rId11" w:history="1">
              <w:r>
                <w:rPr>
                  <w:rStyle w:val="Hyperlink"/>
                  <w:sz w:val="20"/>
                  <w:szCs w:val="20"/>
                </w:rPr>
                <w:t>DE</w:t>
              </w:r>
            </w:hyperlink>
          </w:p>
          <w:p w:rsidR="00205CB6" w:rsidRDefault="00205CB6">
            <w:pPr>
              <w:pStyle w:val="Lijstalinea"/>
              <w:spacing w:line="276" w:lineRule="auto"/>
              <w:ind w:left="1134" w:hanging="425"/>
              <w:jc w:val="both"/>
              <w:rPr>
                <w:sz w:val="20"/>
                <w:szCs w:val="20"/>
                <w:lang w:val="en-US" w:eastAsia="en-US"/>
              </w:rPr>
            </w:pPr>
          </w:p>
          <w:p w:rsidR="00205CB6" w:rsidRDefault="00205CB6">
            <w:pPr>
              <w:pStyle w:val="Lijstalinea"/>
              <w:spacing w:line="276" w:lineRule="auto"/>
              <w:jc w:val="both"/>
              <w:rPr>
                <w:sz w:val="20"/>
                <w:szCs w:val="20"/>
                <w:lang w:val="en" w:eastAsia="en-US"/>
              </w:rPr>
            </w:pPr>
          </w:p>
          <w:p w:rsidR="00205CB6" w:rsidRDefault="00205CB6" w:rsidP="002549E1">
            <w:pPr>
              <w:pStyle w:val="Default"/>
              <w:numPr>
                <w:ilvl w:val="0"/>
                <w:numId w:val="1"/>
              </w:numPr>
              <w:spacing w:line="276" w:lineRule="auto"/>
              <w:rPr>
                <w:rFonts w:ascii="Calibri" w:hAnsi="Calibri"/>
                <w:b/>
                <w:bCs/>
                <w:sz w:val="20"/>
                <w:szCs w:val="20"/>
                <w:lang w:val="en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  <w:lang w:val="en"/>
              </w:rPr>
              <w:t>Dutch tax ruling on Starbucks: Commission publishes text of decision to open state aid investigations</w:t>
            </w:r>
          </w:p>
          <w:p w:rsidR="00205CB6" w:rsidRDefault="00205CB6">
            <w:pPr>
              <w:spacing w:line="276" w:lineRule="auto"/>
              <w:jc w:val="both"/>
              <w:rPr>
                <w:rFonts w:ascii="Calibri" w:hAnsi="Calibri"/>
                <w:sz w:val="20"/>
                <w:szCs w:val="20"/>
                <w:lang w:val="en" w:eastAsia="en-US"/>
              </w:rPr>
            </w:pPr>
          </w:p>
          <w:p w:rsidR="00205CB6" w:rsidRDefault="00205CB6">
            <w:pPr>
              <w:spacing w:line="276" w:lineRule="auto"/>
              <w:ind w:left="284"/>
              <w:jc w:val="both"/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sz w:val="20"/>
                <w:szCs w:val="20"/>
                <w:lang w:eastAsia="en-US"/>
              </w:rPr>
              <w:t xml:space="preserve">On 14 November 2014, the European </w:t>
            </w:r>
            <w:proofErr w:type="spellStart"/>
            <w:r>
              <w:rPr>
                <w:rFonts w:ascii="Calibri" w:hAnsi="Calibri"/>
                <w:sz w:val="20"/>
                <w:szCs w:val="20"/>
                <w:lang w:eastAsia="en-US"/>
              </w:rPr>
              <w:t>Commission</w:t>
            </w:r>
            <w:proofErr w:type="spellEnd"/>
            <w:r>
              <w:rPr>
                <w:rFonts w:ascii="Calibri" w:hAnsi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  <w:lang w:eastAsia="en-US"/>
              </w:rPr>
              <w:t>published</w:t>
            </w:r>
            <w:proofErr w:type="spellEnd"/>
            <w:r>
              <w:rPr>
                <w:rFonts w:ascii="Calibri" w:hAnsi="Calibri"/>
                <w:sz w:val="20"/>
                <w:szCs w:val="20"/>
                <w:lang w:eastAsia="en-US"/>
              </w:rPr>
              <w:t xml:space="preserve"> the non-</w:t>
            </w:r>
            <w:proofErr w:type="spellStart"/>
            <w:r>
              <w:rPr>
                <w:rFonts w:ascii="Calibri" w:hAnsi="Calibri"/>
                <w:sz w:val="20"/>
                <w:szCs w:val="20"/>
                <w:lang w:eastAsia="en-US"/>
              </w:rPr>
              <w:t>confidential</w:t>
            </w:r>
            <w:proofErr w:type="spellEnd"/>
            <w:r>
              <w:rPr>
                <w:rFonts w:ascii="Calibri" w:hAnsi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  <w:lang w:eastAsia="en-US"/>
              </w:rPr>
              <w:t>version</w:t>
            </w:r>
            <w:proofErr w:type="spellEnd"/>
            <w:r>
              <w:rPr>
                <w:rFonts w:ascii="Calibri" w:hAnsi="Calibri"/>
                <w:sz w:val="20"/>
                <w:szCs w:val="20"/>
                <w:lang w:eastAsia="en-US"/>
              </w:rPr>
              <w:t xml:space="preserve"> of the </w:t>
            </w:r>
            <w:proofErr w:type="spellStart"/>
            <w:r>
              <w:rPr>
                <w:rFonts w:ascii="Calibri" w:hAnsi="Calibri"/>
                <w:sz w:val="20"/>
                <w:szCs w:val="20"/>
                <w:lang w:eastAsia="en-US"/>
              </w:rPr>
              <w:t>decision</w:t>
            </w:r>
            <w:proofErr w:type="spellEnd"/>
            <w:r>
              <w:rPr>
                <w:rFonts w:ascii="Calibri" w:hAnsi="Calibri"/>
                <w:sz w:val="20"/>
                <w:szCs w:val="20"/>
                <w:lang w:eastAsia="en-US"/>
              </w:rPr>
              <w:t xml:space="preserve"> of 11 </w:t>
            </w:r>
            <w:proofErr w:type="spellStart"/>
            <w:r>
              <w:rPr>
                <w:rFonts w:ascii="Calibri" w:hAnsi="Calibri"/>
                <w:sz w:val="20"/>
                <w:szCs w:val="20"/>
                <w:lang w:eastAsia="en-US"/>
              </w:rPr>
              <w:t>June</w:t>
            </w:r>
            <w:proofErr w:type="spellEnd"/>
            <w:r>
              <w:rPr>
                <w:rFonts w:ascii="Calibri" w:hAnsi="Calibri"/>
                <w:sz w:val="20"/>
                <w:szCs w:val="20"/>
                <w:lang w:eastAsia="en-US"/>
              </w:rPr>
              <w:t xml:space="preserve"> 2014 </w:t>
            </w:r>
            <w:proofErr w:type="spellStart"/>
            <w:r>
              <w:rPr>
                <w:rFonts w:ascii="Calibri" w:hAnsi="Calibri"/>
                <w:sz w:val="20"/>
                <w:szCs w:val="20"/>
                <w:lang w:eastAsia="en-US"/>
              </w:rPr>
              <w:t>to</w:t>
            </w:r>
            <w:proofErr w:type="spellEnd"/>
            <w:r>
              <w:rPr>
                <w:rFonts w:ascii="Calibri" w:hAnsi="Calibri"/>
                <w:sz w:val="20"/>
                <w:szCs w:val="20"/>
                <w:lang w:eastAsia="en-US"/>
              </w:rPr>
              <w:t xml:space="preserve"> open </w:t>
            </w:r>
            <w:proofErr w:type="spellStart"/>
            <w:r>
              <w:rPr>
                <w:rFonts w:ascii="Calibri" w:hAnsi="Calibri"/>
                <w:sz w:val="20"/>
                <w:szCs w:val="20"/>
                <w:lang w:eastAsia="en-US"/>
              </w:rPr>
              <w:t>an</w:t>
            </w:r>
            <w:proofErr w:type="spellEnd"/>
            <w:r>
              <w:rPr>
                <w:rFonts w:ascii="Calibri" w:hAnsi="Calibri"/>
                <w:sz w:val="20"/>
                <w:szCs w:val="20"/>
                <w:lang w:eastAsia="en-US"/>
              </w:rPr>
              <w:t xml:space="preserve"> in-</w:t>
            </w:r>
            <w:proofErr w:type="spellStart"/>
            <w:r>
              <w:rPr>
                <w:rFonts w:ascii="Calibri" w:hAnsi="Calibri"/>
                <w:sz w:val="20"/>
                <w:szCs w:val="20"/>
                <w:lang w:eastAsia="en-US"/>
              </w:rPr>
              <w:t>depth</w:t>
            </w:r>
            <w:proofErr w:type="spellEnd"/>
            <w:r>
              <w:rPr>
                <w:rFonts w:ascii="Calibri" w:hAnsi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  <w:lang w:eastAsia="en-US"/>
              </w:rPr>
              <w:t>investigation</w:t>
            </w:r>
            <w:proofErr w:type="spellEnd"/>
            <w:r>
              <w:rPr>
                <w:rFonts w:ascii="Calibri" w:hAnsi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  <w:lang w:eastAsia="en-US"/>
              </w:rPr>
              <w:t>into</w:t>
            </w:r>
            <w:proofErr w:type="spellEnd"/>
            <w:r>
              <w:rPr>
                <w:rFonts w:ascii="Calibri" w:hAnsi="Calibri"/>
                <w:sz w:val="20"/>
                <w:szCs w:val="20"/>
                <w:lang w:eastAsia="en-US"/>
              </w:rPr>
              <w:t xml:space="preserve"> transfer pricing </w:t>
            </w:r>
            <w:proofErr w:type="spellStart"/>
            <w:r>
              <w:rPr>
                <w:rFonts w:ascii="Calibri" w:hAnsi="Calibri"/>
                <w:sz w:val="20"/>
                <w:szCs w:val="20"/>
                <w:lang w:eastAsia="en-US"/>
              </w:rPr>
              <w:t>arrangements</w:t>
            </w:r>
            <w:proofErr w:type="spellEnd"/>
            <w:r>
              <w:rPr>
                <w:rFonts w:ascii="Calibri" w:hAnsi="Calibri"/>
                <w:sz w:val="20"/>
                <w:szCs w:val="20"/>
                <w:lang w:eastAsia="en-US"/>
              </w:rPr>
              <w:t xml:space="preserve"> on corporate </w:t>
            </w:r>
            <w:proofErr w:type="spellStart"/>
            <w:r>
              <w:rPr>
                <w:rFonts w:ascii="Calibri" w:hAnsi="Calibri"/>
                <w:sz w:val="20"/>
                <w:szCs w:val="20"/>
                <w:lang w:eastAsia="en-US"/>
              </w:rPr>
              <w:t>taxation</w:t>
            </w:r>
            <w:proofErr w:type="spellEnd"/>
            <w:r>
              <w:rPr>
                <w:rFonts w:ascii="Calibri" w:hAnsi="Calibri"/>
                <w:sz w:val="20"/>
                <w:szCs w:val="20"/>
                <w:lang w:eastAsia="en-US"/>
              </w:rPr>
              <w:t xml:space="preserve"> of Starbucks in the Netherlands.</w:t>
            </w:r>
          </w:p>
          <w:p w:rsidR="00205CB6" w:rsidRDefault="00205CB6">
            <w:pPr>
              <w:spacing w:line="276" w:lineRule="auto"/>
              <w:jc w:val="both"/>
              <w:rPr>
                <w:rFonts w:ascii="Calibri" w:hAnsi="Calibri"/>
                <w:sz w:val="20"/>
                <w:szCs w:val="20"/>
                <w:lang w:eastAsia="en-US"/>
              </w:rPr>
            </w:pPr>
          </w:p>
          <w:p w:rsidR="00205CB6" w:rsidRDefault="00205CB6" w:rsidP="002549E1">
            <w:pPr>
              <w:pStyle w:val="Lijstalinea"/>
              <w:numPr>
                <w:ilvl w:val="0"/>
                <w:numId w:val="2"/>
              </w:numPr>
              <w:spacing w:line="276" w:lineRule="auto"/>
              <w:jc w:val="both"/>
              <w:rPr>
                <w:sz w:val="20"/>
                <w:szCs w:val="20"/>
                <w:lang w:val="en" w:eastAsia="en-US"/>
              </w:rPr>
            </w:pPr>
            <w:r>
              <w:rPr>
                <w:sz w:val="20"/>
                <w:szCs w:val="20"/>
                <w:lang w:val="en" w:eastAsia="en-US"/>
              </w:rPr>
              <w:t xml:space="preserve">Letter sent to the Netherlands: </w:t>
            </w:r>
            <w:hyperlink r:id="rId12" w:history="1">
              <w:r>
                <w:rPr>
                  <w:rStyle w:val="Hyperlink"/>
                  <w:sz w:val="20"/>
                  <w:szCs w:val="20"/>
                  <w:lang w:val="en" w:eastAsia="en-US"/>
                </w:rPr>
                <w:t>EN</w:t>
              </w:r>
            </w:hyperlink>
            <w:r>
              <w:rPr>
                <w:sz w:val="20"/>
                <w:szCs w:val="20"/>
                <w:lang w:eastAsia="en-US"/>
              </w:rPr>
              <w:t xml:space="preserve"> </w:t>
            </w:r>
            <w:hyperlink r:id="rId13" w:history="1">
              <w:r>
                <w:rPr>
                  <w:rStyle w:val="Hyperlink"/>
                  <w:sz w:val="20"/>
                  <w:szCs w:val="20"/>
                  <w:lang w:val="en" w:eastAsia="en-US"/>
                </w:rPr>
                <w:t>NL</w:t>
              </w:r>
            </w:hyperlink>
          </w:p>
          <w:p w:rsidR="00205CB6" w:rsidRDefault="00205CB6">
            <w:pPr>
              <w:pStyle w:val="Lijstalinea"/>
              <w:spacing w:line="276" w:lineRule="auto"/>
              <w:jc w:val="both"/>
              <w:rPr>
                <w:sz w:val="20"/>
                <w:szCs w:val="20"/>
                <w:lang w:val="en" w:eastAsia="en-US"/>
              </w:rPr>
            </w:pPr>
          </w:p>
          <w:p w:rsidR="00205CB6" w:rsidRDefault="00205CB6">
            <w:pPr>
              <w:spacing w:line="276" w:lineRule="auto"/>
              <w:jc w:val="both"/>
              <w:rPr>
                <w:rFonts w:ascii="Calibri" w:hAnsi="Calibri"/>
                <w:sz w:val="20"/>
                <w:szCs w:val="20"/>
                <w:lang w:val="en" w:eastAsia="en-US"/>
              </w:rPr>
            </w:pPr>
          </w:p>
          <w:p w:rsidR="00205CB6" w:rsidRDefault="00205CB6" w:rsidP="002549E1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Calibri" w:eastAsia="Times New Roman" w:hAnsi="Calibri"/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rFonts w:ascii="Calibri" w:eastAsia="Times New Roman" w:hAnsi="Calibri"/>
                <w:b/>
                <w:bCs/>
                <w:sz w:val="20"/>
                <w:szCs w:val="20"/>
                <w:lang w:val="en-US" w:eastAsia="en-US"/>
              </w:rPr>
              <w:t xml:space="preserve">Tax Commissioner </w:t>
            </w:r>
            <w:proofErr w:type="spellStart"/>
            <w:r>
              <w:rPr>
                <w:rFonts w:ascii="Calibri" w:eastAsia="Times New Roman" w:hAnsi="Calibri"/>
                <w:b/>
                <w:bCs/>
                <w:sz w:val="20"/>
                <w:szCs w:val="20"/>
                <w:lang w:val="en-US" w:eastAsia="en-US"/>
              </w:rPr>
              <w:t>Moscovici</w:t>
            </w:r>
            <w:proofErr w:type="spellEnd"/>
            <w:r>
              <w:rPr>
                <w:rFonts w:ascii="Calibri" w:eastAsia="Times New Roman" w:hAnsi="Calibri"/>
                <w:b/>
                <w:bCs/>
                <w:sz w:val="20"/>
                <w:szCs w:val="20"/>
                <w:lang w:val="en-US" w:eastAsia="en-US"/>
              </w:rPr>
              <w:t xml:space="preserve"> hints at a compulsory CCCTB</w:t>
            </w:r>
          </w:p>
          <w:p w:rsidR="00205CB6" w:rsidRDefault="00205CB6">
            <w:pPr>
              <w:spacing w:line="276" w:lineRule="auto"/>
              <w:jc w:val="both"/>
              <w:rPr>
                <w:rFonts w:ascii="Calibri" w:hAnsi="Calibri"/>
                <w:sz w:val="20"/>
                <w:szCs w:val="20"/>
                <w:lang w:val="en-US" w:eastAsia="en-US"/>
              </w:rPr>
            </w:pPr>
          </w:p>
          <w:p w:rsidR="00205CB6" w:rsidRDefault="00205CB6">
            <w:pPr>
              <w:spacing w:line="276" w:lineRule="auto"/>
              <w:ind w:left="360"/>
              <w:jc w:val="both"/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sz w:val="20"/>
                <w:szCs w:val="20"/>
                <w:lang w:val="en-US" w:eastAsia="en-US"/>
              </w:rPr>
              <w:t xml:space="preserve">In a speech given at the European Parliament on 13 November 2014, the new Commissioner for Economic and Financial Affairs, Taxation and Customs, Pierre </w:t>
            </w:r>
            <w:proofErr w:type="spellStart"/>
            <w:r>
              <w:rPr>
                <w:rFonts w:ascii="Calibri" w:hAnsi="Calibri"/>
                <w:sz w:val="20"/>
                <w:szCs w:val="20"/>
                <w:lang w:val="en-US" w:eastAsia="en-US"/>
              </w:rPr>
              <w:t>Moscovici</w:t>
            </w:r>
            <w:proofErr w:type="spellEnd"/>
            <w:r>
              <w:rPr>
                <w:rFonts w:ascii="Calibri" w:hAnsi="Calibri"/>
                <w:sz w:val="20"/>
                <w:szCs w:val="20"/>
                <w:lang w:val="en-US" w:eastAsia="en-US"/>
              </w:rPr>
              <w:t xml:space="preserve"> confirmed his determination to pursue the fight against tax fraud, evasion and avoidance, which he called his priority. The speech also contains a hint at the possibility to make the CCCTB (common consolidated corporate tax base), proposed by the Commission in 2011, mandatory, and mentions the automatic exchange of tax rulings as a possible way forward.</w:t>
            </w:r>
          </w:p>
          <w:p w:rsidR="00205CB6" w:rsidRDefault="00205CB6">
            <w:pPr>
              <w:spacing w:line="276" w:lineRule="auto"/>
              <w:jc w:val="both"/>
              <w:rPr>
                <w:rFonts w:ascii="Calibri" w:hAnsi="Calibri"/>
                <w:sz w:val="20"/>
                <w:szCs w:val="20"/>
                <w:lang w:val="en" w:eastAsia="en-US"/>
              </w:rPr>
            </w:pPr>
          </w:p>
          <w:p w:rsidR="00205CB6" w:rsidRDefault="00205CB6" w:rsidP="002549E1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="Calibri" w:hAnsi="Calibri"/>
                <w:sz w:val="20"/>
                <w:szCs w:val="20"/>
                <w:lang w:val="en" w:eastAsia="en-US"/>
              </w:rPr>
            </w:pPr>
            <w:hyperlink r:id="rId14" w:history="1">
              <w:r>
                <w:rPr>
                  <w:rStyle w:val="Hyperlink"/>
                  <w:rFonts w:ascii="Calibri" w:hAnsi="Calibri"/>
                  <w:sz w:val="20"/>
                  <w:szCs w:val="20"/>
                </w:rPr>
                <w:t xml:space="preserve">Speech </w:t>
              </w:r>
              <w:proofErr w:type="spellStart"/>
              <w:r>
                <w:rPr>
                  <w:rStyle w:val="Hyperlink"/>
                  <w:rFonts w:ascii="Calibri" w:hAnsi="Calibri"/>
                  <w:sz w:val="20"/>
                  <w:szCs w:val="20"/>
                </w:rPr>
                <w:t>before</w:t>
              </w:r>
              <w:proofErr w:type="spellEnd"/>
              <w:r>
                <w:rPr>
                  <w:rStyle w:val="Hyperlink"/>
                  <w:rFonts w:ascii="Calibri" w:hAnsi="Calibri"/>
                  <w:sz w:val="20"/>
                  <w:szCs w:val="20"/>
                </w:rPr>
                <w:t xml:space="preserve"> the European </w:t>
              </w:r>
              <w:proofErr w:type="spellStart"/>
              <w:r>
                <w:rPr>
                  <w:rStyle w:val="Hyperlink"/>
                  <w:rFonts w:ascii="Calibri" w:hAnsi="Calibri"/>
                  <w:sz w:val="20"/>
                  <w:szCs w:val="20"/>
                </w:rPr>
                <w:t>Parliament</w:t>
              </w:r>
              <w:proofErr w:type="spellEnd"/>
            </w:hyperlink>
            <w:r>
              <w:rPr>
                <w:rFonts w:ascii="Calibri" w:hAnsi="Calibri"/>
                <w:sz w:val="20"/>
                <w:szCs w:val="20"/>
              </w:rPr>
              <w:t xml:space="preserve"> on 13 November 2014 (EN/FR)</w:t>
            </w:r>
          </w:p>
          <w:p w:rsidR="00205CB6" w:rsidRDefault="00205CB6">
            <w:pPr>
              <w:spacing w:line="276" w:lineRule="auto"/>
              <w:jc w:val="both"/>
              <w:rPr>
                <w:rFonts w:ascii="Calibri" w:hAnsi="Calibri"/>
                <w:sz w:val="20"/>
                <w:szCs w:val="20"/>
                <w:lang w:val="en" w:eastAsia="en-US"/>
              </w:rPr>
            </w:pPr>
          </w:p>
          <w:p w:rsidR="00205CB6" w:rsidRDefault="00205CB6">
            <w:pPr>
              <w:pStyle w:val="Lijstalinea"/>
              <w:spacing w:line="276" w:lineRule="auto"/>
              <w:jc w:val="both"/>
              <w:rPr>
                <w:sz w:val="20"/>
                <w:szCs w:val="20"/>
                <w:lang w:val="en" w:eastAsia="en-US"/>
              </w:rPr>
            </w:pPr>
          </w:p>
          <w:p w:rsidR="00205CB6" w:rsidRDefault="00205CB6" w:rsidP="002549E1">
            <w:pPr>
              <w:pStyle w:val="Lijstalinea"/>
              <w:numPr>
                <w:ilvl w:val="0"/>
                <w:numId w:val="1"/>
              </w:numPr>
              <w:spacing w:line="276" w:lineRule="auto"/>
              <w:jc w:val="both"/>
              <w:rPr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b/>
                <w:bCs/>
                <w:sz w:val="20"/>
                <w:szCs w:val="20"/>
                <w:lang w:val="en" w:eastAsia="en-US"/>
              </w:rPr>
              <w:t>CJEU dismisses different treatment of gains attributed to participators in non-resident companies by UK law</w:t>
            </w:r>
          </w:p>
          <w:p w:rsidR="00205CB6" w:rsidRDefault="00205CB6">
            <w:pPr>
              <w:spacing w:line="276" w:lineRule="auto"/>
              <w:jc w:val="both"/>
              <w:rPr>
                <w:rFonts w:ascii="Calibri" w:hAnsi="Calibri"/>
                <w:sz w:val="20"/>
                <w:szCs w:val="20"/>
                <w:lang w:val="en-US" w:eastAsia="en-US"/>
              </w:rPr>
            </w:pPr>
          </w:p>
          <w:p w:rsidR="00205CB6" w:rsidRDefault="00205CB6">
            <w:pPr>
              <w:spacing w:line="276" w:lineRule="auto"/>
              <w:ind w:left="360"/>
              <w:jc w:val="both"/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sz w:val="20"/>
                <w:szCs w:val="20"/>
                <w:lang w:val="en-US" w:eastAsia="en-US"/>
              </w:rPr>
              <w:t xml:space="preserve">On 13 November 2014, in an infringement proceeding of the European Commission against the UK (C-112/14), the EU Court of Justice concluded that, </w:t>
            </w:r>
            <w:proofErr w:type="spellStart"/>
            <w:r>
              <w:rPr>
                <w:rFonts w:ascii="Calibri" w:hAnsi="Calibri"/>
                <w:sz w:val="20"/>
                <w:szCs w:val="20"/>
                <w:lang w:eastAsia="en-US"/>
              </w:rPr>
              <w:t>by</w:t>
            </w:r>
            <w:proofErr w:type="spellEnd"/>
            <w:r>
              <w:rPr>
                <w:rFonts w:ascii="Calibri" w:hAnsi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  <w:lang w:eastAsia="en-US"/>
              </w:rPr>
              <w:t>adopting</w:t>
            </w:r>
            <w:proofErr w:type="spellEnd"/>
            <w:r>
              <w:rPr>
                <w:rFonts w:ascii="Calibri" w:hAnsi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  <w:lang w:eastAsia="en-US"/>
              </w:rPr>
              <w:t>and</w:t>
            </w:r>
            <w:proofErr w:type="spellEnd"/>
            <w:r>
              <w:rPr>
                <w:rFonts w:ascii="Calibri" w:hAnsi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  <w:lang w:eastAsia="en-US"/>
              </w:rPr>
              <w:t>maintaining</w:t>
            </w:r>
            <w:proofErr w:type="spellEnd"/>
            <w:r>
              <w:rPr>
                <w:rFonts w:ascii="Calibri" w:hAnsi="Calibri"/>
                <w:sz w:val="20"/>
                <w:szCs w:val="20"/>
                <w:lang w:eastAsia="en-US"/>
              </w:rPr>
              <w:t xml:space="preserve"> tax </w:t>
            </w:r>
            <w:proofErr w:type="spellStart"/>
            <w:r>
              <w:rPr>
                <w:rFonts w:ascii="Calibri" w:hAnsi="Calibri"/>
                <w:sz w:val="20"/>
                <w:szCs w:val="20"/>
                <w:lang w:eastAsia="en-US"/>
              </w:rPr>
              <w:t>legislation</w:t>
            </w:r>
            <w:proofErr w:type="spellEnd"/>
            <w:r>
              <w:rPr>
                <w:rFonts w:ascii="Calibri" w:hAnsi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  <w:lang w:eastAsia="en-US"/>
              </w:rPr>
              <w:t>concerning</w:t>
            </w:r>
            <w:proofErr w:type="spellEnd"/>
            <w:r>
              <w:rPr>
                <w:rFonts w:ascii="Calibri" w:hAnsi="Calibri"/>
                <w:sz w:val="20"/>
                <w:szCs w:val="20"/>
                <w:lang w:eastAsia="en-US"/>
              </w:rPr>
              <w:t xml:space="preserve"> the </w:t>
            </w:r>
            <w:proofErr w:type="spellStart"/>
            <w:r>
              <w:rPr>
                <w:rFonts w:ascii="Calibri" w:hAnsi="Calibri"/>
                <w:sz w:val="20"/>
                <w:szCs w:val="20"/>
                <w:lang w:eastAsia="en-US"/>
              </w:rPr>
              <w:t>attribution</w:t>
            </w:r>
            <w:proofErr w:type="spellEnd"/>
            <w:r>
              <w:rPr>
                <w:rFonts w:ascii="Calibri" w:hAnsi="Calibri"/>
                <w:sz w:val="20"/>
                <w:szCs w:val="20"/>
                <w:lang w:eastAsia="en-US"/>
              </w:rPr>
              <w:t xml:space="preserve"> of </w:t>
            </w:r>
            <w:proofErr w:type="spellStart"/>
            <w:r>
              <w:rPr>
                <w:rFonts w:ascii="Calibri" w:hAnsi="Calibri"/>
                <w:sz w:val="20"/>
                <w:szCs w:val="20"/>
                <w:lang w:eastAsia="en-US"/>
              </w:rPr>
              <w:t>gains</w:t>
            </w:r>
            <w:proofErr w:type="spellEnd"/>
            <w:r>
              <w:rPr>
                <w:rFonts w:ascii="Calibri" w:hAnsi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  <w:lang w:eastAsia="en-US"/>
              </w:rPr>
              <w:t>to</w:t>
            </w:r>
            <w:proofErr w:type="spellEnd"/>
            <w:r>
              <w:rPr>
                <w:rFonts w:ascii="Calibri" w:hAnsi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  <w:lang w:eastAsia="en-US"/>
              </w:rPr>
              <w:t>participators</w:t>
            </w:r>
            <w:proofErr w:type="spellEnd"/>
            <w:r>
              <w:rPr>
                <w:rFonts w:ascii="Calibri" w:hAnsi="Calibri"/>
                <w:sz w:val="20"/>
                <w:szCs w:val="20"/>
                <w:lang w:eastAsia="en-US"/>
              </w:rPr>
              <w:t xml:space="preserve"> in non-resident companies </w:t>
            </w:r>
            <w:proofErr w:type="spellStart"/>
            <w:r>
              <w:rPr>
                <w:rFonts w:ascii="Calibri" w:hAnsi="Calibri"/>
                <w:sz w:val="20"/>
                <w:szCs w:val="20"/>
                <w:lang w:eastAsia="en-US"/>
              </w:rPr>
              <w:t>which</w:t>
            </w:r>
            <w:proofErr w:type="spellEnd"/>
            <w:r>
              <w:rPr>
                <w:rFonts w:ascii="Calibri" w:hAnsi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  <w:lang w:eastAsia="en-US"/>
              </w:rPr>
              <w:t>treats</w:t>
            </w:r>
            <w:proofErr w:type="spellEnd"/>
            <w:r>
              <w:rPr>
                <w:rFonts w:ascii="Calibri" w:hAnsi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  <w:lang w:eastAsia="en-US"/>
              </w:rPr>
              <w:t>domestic</w:t>
            </w:r>
            <w:proofErr w:type="spellEnd"/>
            <w:r>
              <w:rPr>
                <w:rFonts w:ascii="Calibri" w:hAnsi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  <w:lang w:eastAsia="en-US"/>
              </w:rPr>
              <w:t>and</w:t>
            </w:r>
            <w:proofErr w:type="spellEnd"/>
            <w:r>
              <w:rPr>
                <w:rFonts w:ascii="Calibri" w:hAnsi="Calibri"/>
                <w:sz w:val="20"/>
                <w:szCs w:val="20"/>
                <w:lang w:eastAsia="en-US"/>
              </w:rPr>
              <w:t xml:space="preserve"> cross-border </w:t>
            </w:r>
            <w:proofErr w:type="spellStart"/>
            <w:r>
              <w:rPr>
                <w:rFonts w:ascii="Calibri" w:hAnsi="Calibri"/>
                <w:sz w:val="20"/>
                <w:szCs w:val="20"/>
                <w:lang w:eastAsia="en-US"/>
              </w:rPr>
              <w:t>activities</w:t>
            </w:r>
            <w:proofErr w:type="spellEnd"/>
            <w:r>
              <w:rPr>
                <w:rFonts w:ascii="Calibri" w:hAnsi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  <w:lang w:eastAsia="en-US"/>
              </w:rPr>
              <w:t>differently</w:t>
            </w:r>
            <w:proofErr w:type="spellEnd"/>
            <w:r>
              <w:rPr>
                <w:rFonts w:ascii="Calibri" w:hAnsi="Calibri"/>
                <w:sz w:val="20"/>
                <w:szCs w:val="20"/>
                <w:lang w:eastAsia="en-US"/>
              </w:rPr>
              <w:t xml:space="preserve">, </w:t>
            </w:r>
            <w:r>
              <w:rPr>
                <w:rFonts w:ascii="Calibri" w:hAnsi="Calibri"/>
                <w:sz w:val="20"/>
                <w:szCs w:val="20"/>
                <w:lang w:eastAsia="en-US"/>
              </w:rPr>
              <w:lastRenderedPageBreak/>
              <w:t xml:space="preserve">the UK has </w:t>
            </w:r>
            <w:proofErr w:type="spellStart"/>
            <w:r>
              <w:rPr>
                <w:rFonts w:ascii="Calibri" w:hAnsi="Calibri"/>
                <w:sz w:val="20"/>
                <w:szCs w:val="20"/>
                <w:lang w:eastAsia="en-US"/>
              </w:rPr>
              <w:t>infringed</w:t>
            </w:r>
            <w:proofErr w:type="spellEnd"/>
            <w:r>
              <w:rPr>
                <w:rFonts w:ascii="Calibri" w:hAnsi="Calibri"/>
                <w:sz w:val="20"/>
                <w:szCs w:val="20"/>
                <w:lang w:eastAsia="en-US"/>
              </w:rPr>
              <w:t xml:space="preserve"> the free </w:t>
            </w:r>
            <w:proofErr w:type="spellStart"/>
            <w:r>
              <w:rPr>
                <w:rFonts w:ascii="Calibri" w:hAnsi="Calibri"/>
                <w:sz w:val="20"/>
                <w:szCs w:val="20"/>
                <w:lang w:eastAsia="en-US"/>
              </w:rPr>
              <w:t>movement</w:t>
            </w:r>
            <w:proofErr w:type="spellEnd"/>
            <w:r>
              <w:rPr>
                <w:rFonts w:ascii="Calibri" w:hAnsi="Calibri"/>
                <w:sz w:val="20"/>
                <w:szCs w:val="20"/>
                <w:lang w:eastAsia="en-US"/>
              </w:rPr>
              <w:t xml:space="preserve"> of </w:t>
            </w:r>
            <w:proofErr w:type="spellStart"/>
            <w:r>
              <w:rPr>
                <w:rFonts w:ascii="Calibri" w:hAnsi="Calibri"/>
                <w:sz w:val="20"/>
                <w:szCs w:val="20"/>
                <w:lang w:eastAsia="en-US"/>
              </w:rPr>
              <w:t>capital</w:t>
            </w:r>
            <w:proofErr w:type="spellEnd"/>
            <w:r>
              <w:rPr>
                <w:rFonts w:ascii="Calibri" w:hAnsi="Calibri"/>
                <w:sz w:val="20"/>
                <w:szCs w:val="20"/>
                <w:lang w:eastAsia="en-US"/>
              </w:rPr>
              <w:t>.</w:t>
            </w:r>
          </w:p>
          <w:p w:rsidR="00205CB6" w:rsidRDefault="00205CB6">
            <w:pPr>
              <w:spacing w:line="276" w:lineRule="auto"/>
              <w:jc w:val="both"/>
              <w:rPr>
                <w:rFonts w:ascii="Calibri" w:hAnsi="Calibri"/>
                <w:sz w:val="20"/>
                <w:szCs w:val="20"/>
                <w:lang w:eastAsia="en-US"/>
              </w:rPr>
            </w:pPr>
          </w:p>
          <w:p w:rsidR="00205CB6" w:rsidRDefault="00205CB6" w:rsidP="002549E1">
            <w:pPr>
              <w:pStyle w:val="Lijstalinea"/>
              <w:numPr>
                <w:ilvl w:val="0"/>
                <w:numId w:val="2"/>
              </w:numPr>
              <w:spacing w:line="276" w:lineRule="auto"/>
              <w:jc w:val="both"/>
              <w:rPr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sz w:val="20"/>
                <w:szCs w:val="20"/>
              </w:rPr>
              <w:t>Judgment</w:t>
            </w:r>
            <w:proofErr w:type="spellEnd"/>
            <w:r>
              <w:rPr>
                <w:sz w:val="20"/>
                <w:szCs w:val="20"/>
              </w:rPr>
              <w:t xml:space="preserve"> : </w:t>
            </w:r>
            <w:hyperlink r:id="rId15" w:history="1">
              <w:r>
                <w:rPr>
                  <w:rStyle w:val="Hyperlink"/>
                  <w:sz w:val="20"/>
                  <w:szCs w:val="20"/>
                </w:rPr>
                <w:t>EN</w:t>
              </w:r>
            </w:hyperlink>
            <w:r>
              <w:rPr>
                <w:sz w:val="20"/>
                <w:szCs w:val="20"/>
              </w:rPr>
              <w:t xml:space="preserve"> (FR </w:t>
            </w:r>
            <w:proofErr w:type="spellStart"/>
            <w:r>
              <w:rPr>
                <w:sz w:val="20"/>
                <w:szCs w:val="20"/>
              </w:rPr>
              <w:t>available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205CB6" w:rsidRDefault="00205CB6">
            <w:pPr>
              <w:pStyle w:val="Lijstalinea"/>
              <w:spacing w:line="276" w:lineRule="auto"/>
              <w:jc w:val="both"/>
              <w:rPr>
                <w:sz w:val="20"/>
                <w:szCs w:val="20"/>
                <w:lang w:val="en-US" w:eastAsia="en-US"/>
              </w:rPr>
            </w:pPr>
          </w:p>
          <w:p w:rsidR="00205CB6" w:rsidRDefault="00205CB6" w:rsidP="002549E1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G20 </w:t>
            </w: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endorse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 xml:space="preserve"> OECD </w:t>
            </w: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work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 xml:space="preserve"> on BEPS </w:t>
            </w: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and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 xml:space="preserve"> automatic exchange of information</w:t>
            </w:r>
          </w:p>
          <w:p w:rsidR="00205CB6" w:rsidRDefault="00205CB6">
            <w:pPr>
              <w:pStyle w:val="Lijstalinea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               </w:t>
            </w:r>
          </w:p>
          <w:p w:rsidR="00205CB6" w:rsidRDefault="00205CB6">
            <w:pPr>
              <w:pStyle w:val="Lijstalinea"/>
              <w:spacing w:line="276" w:lineRule="auto"/>
              <w:ind w:left="42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The G20 leaders </w:t>
            </w:r>
            <w:proofErr w:type="spellStart"/>
            <w:r>
              <w:rPr>
                <w:sz w:val="20"/>
                <w:szCs w:val="20"/>
                <w:lang w:eastAsia="en-US"/>
              </w:rPr>
              <w:t>endorsed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a “G20 Leaders Communiqué” at </w:t>
            </w:r>
            <w:proofErr w:type="spellStart"/>
            <w:r>
              <w:rPr>
                <w:sz w:val="20"/>
                <w:szCs w:val="20"/>
                <w:lang w:eastAsia="en-US"/>
              </w:rPr>
              <w:t>their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summit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in Brisbane on 16 November 2014, </w:t>
            </w:r>
            <w:proofErr w:type="spellStart"/>
            <w:r>
              <w:rPr>
                <w:sz w:val="20"/>
                <w:szCs w:val="20"/>
                <w:lang w:eastAsia="en-US"/>
              </w:rPr>
              <w:t>supporting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the OECD </w:t>
            </w:r>
            <w:proofErr w:type="spellStart"/>
            <w:r>
              <w:rPr>
                <w:sz w:val="20"/>
                <w:szCs w:val="20"/>
                <w:lang w:eastAsia="en-US"/>
              </w:rPr>
              <w:t>work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on </w:t>
            </w:r>
            <w:proofErr w:type="spellStart"/>
            <w:r>
              <w:rPr>
                <w:sz w:val="20"/>
                <w:szCs w:val="20"/>
                <w:lang w:eastAsia="en-US"/>
              </w:rPr>
              <w:t>reforming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the </w:t>
            </w:r>
            <w:proofErr w:type="spellStart"/>
            <w:r>
              <w:rPr>
                <w:sz w:val="20"/>
                <w:szCs w:val="20"/>
                <w:lang w:eastAsia="en-US"/>
              </w:rPr>
              <w:t>international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tax system, in </w:t>
            </w:r>
            <w:proofErr w:type="spellStart"/>
            <w:r>
              <w:rPr>
                <w:sz w:val="20"/>
                <w:szCs w:val="20"/>
                <w:lang w:eastAsia="en-US"/>
              </w:rPr>
              <w:t>particular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the BEPS project </w:t>
            </w:r>
            <w:proofErr w:type="spellStart"/>
            <w:r>
              <w:rPr>
                <w:sz w:val="20"/>
                <w:szCs w:val="20"/>
                <w:lang w:eastAsia="en-US"/>
              </w:rPr>
              <w:t>and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the </w:t>
            </w:r>
            <w:proofErr w:type="spellStart"/>
            <w:r>
              <w:rPr>
                <w:sz w:val="20"/>
                <w:szCs w:val="20"/>
                <w:lang w:eastAsia="en-US"/>
              </w:rPr>
              <w:t>global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automatic information exchange standard. The Communiqué </w:t>
            </w:r>
            <w:proofErr w:type="spellStart"/>
            <w:r>
              <w:rPr>
                <w:sz w:val="20"/>
                <w:szCs w:val="20"/>
                <w:lang w:eastAsia="en-US"/>
              </w:rPr>
              <w:t>mentions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that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“</w:t>
            </w:r>
            <w:proofErr w:type="spellStart"/>
            <w:r>
              <w:rPr>
                <w:sz w:val="20"/>
                <w:szCs w:val="20"/>
                <w:lang w:eastAsia="en-US"/>
              </w:rPr>
              <w:t>profits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should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be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taxed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where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economic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activities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deriving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the </w:t>
            </w:r>
            <w:proofErr w:type="spellStart"/>
            <w:r>
              <w:rPr>
                <w:sz w:val="20"/>
                <w:szCs w:val="20"/>
                <w:lang w:eastAsia="en-US"/>
              </w:rPr>
              <w:t>profits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are </w:t>
            </w:r>
            <w:proofErr w:type="spellStart"/>
            <w:r>
              <w:rPr>
                <w:sz w:val="20"/>
                <w:szCs w:val="20"/>
                <w:lang w:eastAsia="en-US"/>
              </w:rPr>
              <w:t>performed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and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where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value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is </w:t>
            </w:r>
            <w:proofErr w:type="spellStart"/>
            <w:r>
              <w:rPr>
                <w:sz w:val="20"/>
                <w:szCs w:val="20"/>
                <w:lang w:eastAsia="en-US"/>
              </w:rPr>
              <w:t>created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.” The G20 leaders </w:t>
            </w:r>
            <w:proofErr w:type="spellStart"/>
            <w:r>
              <w:rPr>
                <w:sz w:val="20"/>
                <w:szCs w:val="20"/>
                <w:lang w:eastAsia="en-US"/>
              </w:rPr>
              <w:t>also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declared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that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they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commit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themselves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to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finalising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in 2015, </w:t>
            </w:r>
            <w:proofErr w:type="spellStart"/>
            <w:r>
              <w:rPr>
                <w:sz w:val="20"/>
                <w:szCs w:val="20"/>
                <w:lang w:eastAsia="en-US"/>
              </w:rPr>
              <w:t>work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on “</w:t>
            </w:r>
            <w:proofErr w:type="spellStart"/>
            <w:r>
              <w:rPr>
                <w:sz w:val="20"/>
                <w:szCs w:val="20"/>
                <w:lang w:eastAsia="en-US"/>
              </w:rPr>
              <w:t>transparency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of </w:t>
            </w:r>
            <w:proofErr w:type="spellStart"/>
            <w:r>
              <w:rPr>
                <w:sz w:val="20"/>
                <w:szCs w:val="20"/>
                <w:lang w:eastAsia="en-US"/>
              </w:rPr>
              <w:t>taxpayer-specific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rulings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found </w:t>
            </w:r>
            <w:proofErr w:type="spellStart"/>
            <w:r>
              <w:rPr>
                <w:sz w:val="20"/>
                <w:szCs w:val="20"/>
                <w:lang w:eastAsia="en-US"/>
              </w:rPr>
              <w:t>to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constitute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harmful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tax </w:t>
            </w:r>
            <w:proofErr w:type="spellStart"/>
            <w:r>
              <w:rPr>
                <w:sz w:val="20"/>
                <w:szCs w:val="20"/>
                <w:lang w:eastAsia="en-US"/>
              </w:rPr>
              <w:t>practices</w:t>
            </w:r>
            <w:proofErr w:type="spellEnd"/>
            <w:r>
              <w:rPr>
                <w:sz w:val="20"/>
                <w:szCs w:val="20"/>
                <w:lang w:eastAsia="en-US"/>
              </w:rPr>
              <w:t>.”</w:t>
            </w:r>
          </w:p>
          <w:p w:rsidR="00205CB6" w:rsidRDefault="00205CB6">
            <w:pPr>
              <w:pStyle w:val="Lijstalinea"/>
              <w:spacing w:line="276" w:lineRule="auto"/>
              <w:ind w:left="426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This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is </w:t>
            </w:r>
            <w:proofErr w:type="spellStart"/>
            <w:r>
              <w:rPr>
                <w:sz w:val="20"/>
                <w:szCs w:val="20"/>
                <w:lang w:eastAsia="en-US"/>
              </w:rPr>
              <w:t>complemented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by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a report of the OECD </w:t>
            </w:r>
            <w:proofErr w:type="spellStart"/>
            <w:r>
              <w:rPr>
                <w:sz w:val="20"/>
                <w:szCs w:val="20"/>
                <w:lang w:eastAsia="en-US"/>
              </w:rPr>
              <w:t>providing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update on BEPS, the </w:t>
            </w:r>
            <w:proofErr w:type="spellStart"/>
            <w:r>
              <w:rPr>
                <w:sz w:val="20"/>
                <w:szCs w:val="20"/>
                <w:lang w:eastAsia="en-US"/>
              </w:rPr>
              <w:t>global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automatic information exchange standard, tax </w:t>
            </w:r>
            <w:proofErr w:type="spellStart"/>
            <w:r>
              <w:rPr>
                <w:sz w:val="20"/>
                <w:szCs w:val="20"/>
                <w:lang w:eastAsia="en-US"/>
              </w:rPr>
              <w:t>and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development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and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the </w:t>
            </w:r>
            <w:proofErr w:type="spellStart"/>
            <w:r>
              <w:rPr>
                <w:sz w:val="20"/>
                <w:szCs w:val="20"/>
                <w:lang w:eastAsia="en-US"/>
              </w:rPr>
              <w:t>ongoing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monitoring </w:t>
            </w:r>
            <w:proofErr w:type="spellStart"/>
            <w:r>
              <w:rPr>
                <w:sz w:val="20"/>
                <w:szCs w:val="20"/>
                <w:lang w:eastAsia="en-US"/>
              </w:rPr>
              <w:t>work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of the </w:t>
            </w:r>
            <w:r>
              <w:rPr>
                <w:i/>
                <w:iCs/>
                <w:sz w:val="20"/>
                <w:szCs w:val="20"/>
                <w:lang w:eastAsia="en-US"/>
              </w:rPr>
              <w:t xml:space="preserve">Global Forum on </w:t>
            </w:r>
            <w:proofErr w:type="spellStart"/>
            <w:r>
              <w:rPr>
                <w:i/>
                <w:iCs/>
                <w:sz w:val="20"/>
                <w:szCs w:val="20"/>
                <w:lang w:eastAsia="en-US"/>
              </w:rPr>
              <w:t>Transparency</w:t>
            </w:r>
            <w:proofErr w:type="spellEnd"/>
            <w:r>
              <w:rPr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  <w:lang w:eastAsia="en-US"/>
              </w:rPr>
              <w:t>and</w:t>
            </w:r>
            <w:proofErr w:type="spellEnd"/>
            <w:r>
              <w:rPr>
                <w:i/>
                <w:iCs/>
                <w:sz w:val="20"/>
                <w:szCs w:val="20"/>
                <w:lang w:eastAsia="en-US"/>
              </w:rPr>
              <w:t xml:space="preserve"> Exchange of Information </w:t>
            </w:r>
            <w:proofErr w:type="spellStart"/>
            <w:r>
              <w:rPr>
                <w:i/>
                <w:iCs/>
                <w:sz w:val="20"/>
                <w:szCs w:val="20"/>
                <w:lang w:eastAsia="en-US"/>
              </w:rPr>
              <w:t>for</w:t>
            </w:r>
            <w:proofErr w:type="spellEnd"/>
            <w:r>
              <w:rPr>
                <w:i/>
                <w:iCs/>
                <w:sz w:val="20"/>
                <w:szCs w:val="20"/>
                <w:lang w:eastAsia="en-US"/>
              </w:rPr>
              <w:t xml:space="preserve"> Tax </w:t>
            </w:r>
            <w:proofErr w:type="spellStart"/>
            <w:r>
              <w:rPr>
                <w:i/>
                <w:iCs/>
                <w:sz w:val="20"/>
                <w:szCs w:val="20"/>
                <w:lang w:eastAsia="en-US"/>
              </w:rPr>
              <w:t>Purposes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which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has </w:t>
            </w:r>
            <w:proofErr w:type="spellStart"/>
            <w:r>
              <w:rPr>
                <w:sz w:val="20"/>
                <w:szCs w:val="20"/>
                <w:lang w:eastAsia="en-US"/>
              </w:rPr>
              <w:t>to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date </w:t>
            </w:r>
            <w:proofErr w:type="spellStart"/>
            <w:r>
              <w:rPr>
                <w:sz w:val="20"/>
                <w:szCs w:val="20"/>
                <w:lang w:eastAsia="en-US"/>
              </w:rPr>
              <w:t>assessed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the compliance of 105 </w:t>
            </w:r>
            <w:proofErr w:type="spellStart"/>
            <w:r>
              <w:rPr>
                <w:sz w:val="20"/>
                <w:szCs w:val="20"/>
                <w:lang w:eastAsia="en-US"/>
              </w:rPr>
              <w:t>jurisdictions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with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the </w:t>
            </w:r>
            <w:proofErr w:type="spellStart"/>
            <w:r>
              <w:rPr>
                <w:sz w:val="20"/>
                <w:szCs w:val="20"/>
                <w:lang w:eastAsia="en-US"/>
              </w:rPr>
              <w:t>international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standard on exchange of information on </w:t>
            </w:r>
            <w:proofErr w:type="spellStart"/>
            <w:r>
              <w:rPr>
                <w:sz w:val="20"/>
                <w:szCs w:val="20"/>
                <w:lang w:eastAsia="en-US"/>
              </w:rPr>
              <w:t>request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and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has </w:t>
            </w:r>
            <w:proofErr w:type="spellStart"/>
            <w:r>
              <w:rPr>
                <w:sz w:val="20"/>
                <w:szCs w:val="20"/>
                <w:lang w:eastAsia="en-US"/>
              </w:rPr>
              <w:t>started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working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on </w:t>
            </w:r>
            <w:proofErr w:type="spellStart"/>
            <w:r>
              <w:rPr>
                <w:sz w:val="20"/>
                <w:szCs w:val="20"/>
                <w:lang w:eastAsia="en-US"/>
              </w:rPr>
              <w:t>including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beneficial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ownership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in the standard, </w:t>
            </w:r>
            <w:proofErr w:type="spellStart"/>
            <w:r>
              <w:rPr>
                <w:sz w:val="20"/>
                <w:szCs w:val="20"/>
                <w:lang w:eastAsia="en-US"/>
              </w:rPr>
              <w:t>before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commencing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implementation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of the new automatic exchange of information standard.</w:t>
            </w:r>
          </w:p>
          <w:p w:rsidR="00205CB6" w:rsidRDefault="00205CB6">
            <w:pPr>
              <w:pStyle w:val="Lijstalinea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205CB6" w:rsidRDefault="00205CB6" w:rsidP="002549E1">
            <w:pPr>
              <w:pStyle w:val="Lijstalinea"/>
              <w:numPr>
                <w:ilvl w:val="0"/>
                <w:numId w:val="2"/>
              </w:numPr>
              <w:spacing w:line="276" w:lineRule="auto"/>
              <w:rPr>
                <w:rStyle w:val="Hyperlink"/>
              </w:rPr>
            </w:pPr>
            <w:hyperlink r:id="rId16" w:history="1">
              <w:r>
                <w:rPr>
                  <w:rStyle w:val="Hyperlink"/>
                  <w:sz w:val="20"/>
                  <w:szCs w:val="20"/>
                  <w:lang w:eastAsia="en-US"/>
                </w:rPr>
                <w:t>G20 Communiqué, 16 November 2014 (</w:t>
              </w:r>
              <w:proofErr w:type="spellStart"/>
              <w:r>
                <w:rPr>
                  <w:rStyle w:val="Hyperlink"/>
                  <w:sz w:val="20"/>
                  <w:szCs w:val="20"/>
                  <w:lang w:eastAsia="en-US"/>
                </w:rPr>
                <w:t>see</w:t>
              </w:r>
              <w:proofErr w:type="spellEnd"/>
              <w:r>
                <w:rPr>
                  <w:rStyle w:val="Hyperlink"/>
                  <w:sz w:val="20"/>
                  <w:szCs w:val="20"/>
                  <w:lang w:eastAsia="en-US"/>
                </w:rPr>
                <w:t xml:space="preserve"> </w:t>
              </w:r>
              <w:proofErr w:type="spellStart"/>
              <w:r>
                <w:rPr>
                  <w:rStyle w:val="Hyperlink"/>
                  <w:sz w:val="20"/>
                  <w:szCs w:val="20"/>
                  <w:lang w:eastAsia="en-US"/>
                </w:rPr>
                <w:t>paragraph</w:t>
              </w:r>
              <w:proofErr w:type="spellEnd"/>
              <w:r>
                <w:rPr>
                  <w:rStyle w:val="Hyperlink"/>
                  <w:sz w:val="20"/>
                  <w:szCs w:val="20"/>
                  <w:lang w:eastAsia="en-US"/>
                </w:rPr>
                <w:t xml:space="preserve"> 13)</w:t>
              </w:r>
            </w:hyperlink>
          </w:p>
          <w:p w:rsidR="00205CB6" w:rsidRDefault="00205CB6" w:rsidP="002549E1">
            <w:pPr>
              <w:pStyle w:val="Lijstalinea"/>
              <w:numPr>
                <w:ilvl w:val="0"/>
                <w:numId w:val="2"/>
              </w:numPr>
              <w:spacing w:line="276" w:lineRule="auto"/>
              <w:rPr>
                <w:rStyle w:val="Hyperlink"/>
                <w:sz w:val="20"/>
                <w:szCs w:val="20"/>
                <w:lang w:eastAsia="en-US"/>
              </w:rPr>
            </w:pPr>
            <w:hyperlink r:id="rId17" w:history="1">
              <w:r>
                <w:rPr>
                  <w:rStyle w:val="Hyperlink"/>
                  <w:sz w:val="20"/>
                  <w:szCs w:val="20"/>
                  <w:lang w:eastAsia="en-US"/>
                </w:rPr>
                <w:t>OECD General-</w:t>
              </w:r>
              <w:proofErr w:type="spellStart"/>
              <w:r>
                <w:rPr>
                  <w:rStyle w:val="Hyperlink"/>
                  <w:sz w:val="20"/>
                  <w:szCs w:val="20"/>
                  <w:lang w:eastAsia="en-US"/>
                </w:rPr>
                <w:t>Secretary</w:t>
              </w:r>
              <w:proofErr w:type="spellEnd"/>
              <w:r>
                <w:rPr>
                  <w:rStyle w:val="Hyperlink"/>
                  <w:sz w:val="20"/>
                  <w:szCs w:val="20"/>
                  <w:lang w:eastAsia="en-US"/>
                </w:rPr>
                <w:t xml:space="preserve"> Report </w:t>
              </w:r>
              <w:proofErr w:type="spellStart"/>
              <w:r>
                <w:rPr>
                  <w:rStyle w:val="Hyperlink"/>
                  <w:sz w:val="20"/>
                  <w:szCs w:val="20"/>
                  <w:lang w:eastAsia="en-US"/>
                </w:rPr>
                <w:t>to</w:t>
              </w:r>
              <w:proofErr w:type="spellEnd"/>
              <w:r>
                <w:rPr>
                  <w:rStyle w:val="Hyperlink"/>
                  <w:sz w:val="20"/>
                  <w:szCs w:val="20"/>
                  <w:lang w:eastAsia="en-US"/>
                </w:rPr>
                <w:t xml:space="preserve"> G20 leaders</w:t>
              </w:r>
            </w:hyperlink>
          </w:p>
          <w:p w:rsidR="00205CB6" w:rsidRDefault="00205CB6">
            <w:pPr>
              <w:pStyle w:val="Lijstalinea"/>
              <w:spacing w:line="276" w:lineRule="auto"/>
              <w:jc w:val="both"/>
              <w:rPr>
                <w:lang w:val="en-US"/>
              </w:rPr>
            </w:pPr>
          </w:p>
          <w:p w:rsidR="00205CB6" w:rsidRDefault="00205CB6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sz w:val="20"/>
                <w:szCs w:val="20"/>
                <w:lang w:eastAsia="en-US"/>
              </w:rPr>
              <w:t>*****</w:t>
            </w:r>
          </w:p>
          <w:p w:rsidR="00205CB6" w:rsidRDefault="00205CB6">
            <w:pPr>
              <w:spacing w:line="276" w:lineRule="auto"/>
              <w:jc w:val="both"/>
              <w:rPr>
                <w:rFonts w:ascii="Calibri" w:hAnsi="Calibri"/>
                <w:sz w:val="20"/>
                <w:szCs w:val="20"/>
                <w:lang w:eastAsia="en-US"/>
              </w:rPr>
            </w:pPr>
          </w:p>
          <w:p w:rsidR="00205CB6" w:rsidRDefault="00205CB6">
            <w:pPr>
              <w:pStyle w:val="Lijstalinea"/>
              <w:spacing w:line="276" w:lineRule="auto"/>
              <w:ind w:left="126"/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>
              <w:rPr>
                <w:i/>
                <w:iCs/>
                <w:sz w:val="20"/>
                <w:szCs w:val="20"/>
                <w:lang w:eastAsia="en-US"/>
              </w:rPr>
              <w:t xml:space="preserve">The </w:t>
            </w:r>
            <w:proofErr w:type="spellStart"/>
            <w:r>
              <w:rPr>
                <w:i/>
                <w:iCs/>
                <w:sz w:val="20"/>
                <w:szCs w:val="20"/>
                <w:lang w:eastAsia="en-US"/>
              </w:rPr>
              <w:t>selection</w:t>
            </w:r>
            <w:proofErr w:type="spellEnd"/>
            <w:r>
              <w:rPr>
                <w:i/>
                <w:iCs/>
                <w:sz w:val="20"/>
                <w:szCs w:val="20"/>
                <w:lang w:eastAsia="en-US"/>
              </w:rPr>
              <w:t xml:space="preserve"> of the </w:t>
            </w:r>
            <w:proofErr w:type="spellStart"/>
            <w:r>
              <w:rPr>
                <w:i/>
                <w:iCs/>
                <w:sz w:val="20"/>
                <w:szCs w:val="20"/>
                <w:lang w:eastAsia="en-US"/>
              </w:rPr>
              <w:t>remitted</w:t>
            </w:r>
            <w:proofErr w:type="spellEnd"/>
            <w:r>
              <w:rPr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  <w:lang w:eastAsia="en-US"/>
              </w:rPr>
              <w:t>material</w:t>
            </w:r>
            <w:proofErr w:type="spellEnd"/>
            <w:r>
              <w:rPr>
                <w:i/>
                <w:iCs/>
                <w:sz w:val="20"/>
                <w:szCs w:val="20"/>
                <w:lang w:eastAsia="en-US"/>
              </w:rPr>
              <w:t xml:space="preserve"> has been </w:t>
            </w:r>
            <w:proofErr w:type="spellStart"/>
            <w:r>
              <w:rPr>
                <w:i/>
                <w:iCs/>
                <w:sz w:val="20"/>
                <w:szCs w:val="20"/>
                <w:lang w:eastAsia="en-US"/>
              </w:rPr>
              <w:t>prepared</w:t>
            </w:r>
            <w:proofErr w:type="spellEnd"/>
            <w:r>
              <w:rPr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  <w:lang w:eastAsia="en-US"/>
              </w:rPr>
              <w:t>by</w:t>
            </w:r>
            <w:proofErr w:type="spellEnd"/>
            <w:r>
              <w:rPr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  <w:lang w:eastAsia="en-US"/>
              </w:rPr>
              <w:t>Piergiorgio</w:t>
            </w:r>
            <w:proofErr w:type="spellEnd"/>
            <w:r>
              <w:rPr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  <w:lang w:eastAsia="en-US"/>
              </w:rPr>
              <w:t>Valente</w:t>
            </w:r>
            <w:proofErr w:type="spellEnd"/>
            <w:r>
              <w:rPr>
                <w:i/>
                <w:iCs/>
                <w:sz w:val="20"/>
                <w:szCs w:val="20"/>
                <w:lang w:eastAsia="en-US"/>
              </w:rPr>
              <w:t xml:space="preserve"> / </w:t>
            </w:r>
            <w:proofErr w:type="spellStart"/>
            <w:r>
              <w:rPr>
                <w:i/>
                <w:iCs/>
                <w:sz w:val="20"/>
                <w:szCs w:val="20"/>
                <w:lang w:eastAsia="en-US"/>
              </w:rPr>
              <w:t>Filipa</w:t>
            </w:r>
            <w:proofErr w:type="spellEnd"/>
            <w:r>
              <w:rPr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  <w:lang w:eastAsia="en-US"/>
              </w:rPr>
              <w:t>Correia</w:t>
            </w:r>
            <w:proofErr w:type="spellEnd"/>
            <w:r>
              <w:rPr>
                <w:i/>
                <w:iCs/>
                <w:sz w:val="20"/>
                <w:szCs w:val="20"/>
                <w:lang w:eastAsia="en-US"/>
              </w:rPr>
              <w:t xml:space="preserve"> / Rudolf </w:t>
            </w:r>
            <w:proofErr w:type="spellStart"/>
            <w:r>
              <w:rPr>
                <w:i/>
                <w:iCs/>
                <w:sz w:val="20"/>
                <w:szCs w:val="20"/>
                <w:lang w:eastAsia="en-US"/>
              </w:rPr>
              <w:t>Reibel</w:t>
            </w:r>
            <w:proofErr w:type="spellEnd"/>
          </w:p>
          <w:p w:rsidR="00205CB6" w:rsidRDefault="00205CB6">
            <w:pPr>
              <w:pStyle w:val="Lijstalinea"/>
              <w:spacing w:line="276" w:lineRule="auto"/>
              <w:ind w:left="126"/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</w:p>
          <w:p w:rsidR="00205CB6" w:rsidRDefault="00205CB6">
            <w:pPr>
              <w:pStyle w:val="Lijstalinea"/>
              <w:spacing w:line="276" w:lineRule="auto"/>
              <w:ind w:left="126"/>
              <w:jc w:val="center"/>
              <w:rPr>
                <w:rStyle w:val="Hyperlink"/>
                <w:lang w:eastAsia="fr-BE"/>
              </w:rPr>
            </w:pPr>
            <w:hyperlink r:id="rId18" w:history="1">
              <w:r>
                <w:rPr>
                  <w:rStyle w:val="Hyperlink"/>
                  <w:i/>
                  <w:iCs/>
                  <w:sz w:val="20"/>
                  <w:szCs w:val="20"/>
                </w:rPr>
                <w:t>www.cfe-eutax.org</w:t>
              </w:r>
            </w:hyperlink>
          </w:p>
          <w:p w:rsidR="00205CB6" w:rsidRDefault="00205CB6">
            <w:pPr>
              <w:pStyle w:val="Lijstalinea"/>
              <w:spacing w:line="276" w:lineRule="auto"/>
              <w:ind w:left="126"/>
              <w:jc w:val="center"/>
              <w:rPr>
                <w:rStyle w:val="Hyperlink"/>
                <w:i/>
                <w:iCs/>
                <w:sz w:val="20"/>
                <w:szCs w:val="20"/>
              </w:rPr>
            </w:pPr>
          </w:p>
          <w:p w:rsidR="00205CB6" w:rsidRDefault="00205CB6">
            <w:pPr>
              <w:pStyle w:val="Lijstalinea"/>
              <w:spacing w:line="276" w:lineRule="auto"/>
              <w:ind w:left="126"/>
              <w:jc w:val="center"/>
              <w:rPr>
                <w:lang w:eastAsia="fr-BE"/>
              </w:rPr>
            </w:pPr>
            <w:r>
              <w:rPr>
                <w:i/>
                <w:iCs/>
                <w:sz w:val="20"/>
                <w:szCs w:val="20"/>
                <w:lang w:val="en-US"/>
              </w:rPr>
              <w:t xml:space="preserve">Follow us on </w:t>
            </w:r>
            <w:hyperlink r:id="rId19" w:history="1">
              <w:r>
                <w:rPr>
                  <w:rStyle w:val="Hyperlink"/>
                  <w:sz w:val="20"/>
                  <w:szCs w:val="20"/>
                  <w:lang w:val="en-US"/>
                </w:rPr>
                <w:t>Linked in</w:t>
              </w:r>
            </w:hyperlink>
            <w:r>
              <w:rPr>
                <w:sz w:val="20"/>
                <w:szCs w:val="20"/>
              </w:rPr>
              <w:t xml:space="preserve"> </w:t>
            </w:r>
            <w:r>
              <w:rPr>
                <w:noProof/>
                <w:sz w:val="20"/>
                <w:szCs w:val="20"/>
              </w:rPr>
              <w:drawing>
                <wp:inline distT="0" distB="0" distL="0" distR="0" wp14:anchorId="6F97B59D" wp14:editId="2A1F37FB">
                  <wp:extent cx="200025" cy="190500"/>
                  <wp:effectExtent l="0" t="0" r="9525" b="0"/>
                  <wp:docPr id="1" name="Afbeelding 1" descr="cid:image004.png@01CFAA5C.15EA18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image004.png@01CFAA5C.15EA18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r:link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i/>
                <w:iCs/>
                <w:sz w:val="20"/>
                <w:szCs w:val="20"/>
                <w:lang w:val="en-US"/>
              </w:rPr>
              <w:t>  </w:t>
            </w:r>
            <w:bookmarkStart w:id="0" w:name="_GoBack"/>
            <w:bookmarkEnd w:id="0"/>
          </w:p>
        </w:tc>
      </w:tr>
      <w:tr w:rsidR="00205CB6" w:rsidTr="00205CB6">
        <w:trPr>
          <w:trHeight w:val="141"/>
          <w:tblCellSpacing w:w="0" w:type="dxa"/>
        </w:trPr>
        <w:tc>
          <w:tcPr>
            <w:tcW w:w="10172" w:type="dxa"/>
            <w:tcBorders>
              <w:top w:val="nil"/>
              <w:left w:val="nil"/>
              <w:bottom w:val="nil"/>
              <w:right w:val="nil"/>
            </w:tcBorders>
            <w:tcMar>
              <w:top w:w="375" w:type="dxa"/>
              <w:left w:w="300" w:type="dxa"/>
              <w:bottom w:w="300" w:type="dxa"/>
              <w:right w:w="300" w:type="dxa"/>
            </w:tcMar>
            <w:vAlign w:val="center"/>
          </w:tcPr>
          <w:p w:rsidR="00205CB6" w:rsidRDefault="00205CB6">
            <w:pPr>
              <w:spacing w:line="276" w:lineRule="auto"/>
              <w:jc w:val="both"/>
              <w:rPr>
                <w:rFonts w:ascii="Calibri" w:hAnsi="Calibri"/>
                <w:sz w:val="20"/>
                <w:szCs w:val="20"/>
                <w:lang w:val="en-US" w:eastAsia="fr-BE"/>
              </w:rPr>
            </w:pPr>
          </w:p>
        </w:tc>
      </w:tr>
    </w:tbl>
    <w:p w:rsidR="00205CB6" w:rsidRDefault="00205CB6" w:rsidP="00205CB6">
      <w:pPr>
        <w:rPr>
          <w:lang w:val="en-GB"/>
        </w:rPr>
      </w:pPr>
    </w:p>
    <w:p w:rsidR="00667086" w:rsidRDefault="00667086"/>
    <w:sectPr w:rsidR="006670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5CB6" w:rsidRDefault="00205CB6" w:rsidP="00205CB6">
      <w:r>
        <w:separator/>
      </w:r>
    </w:p>
  </w:endnote>
  <w:endnote w:type="continuationSeparator" w:id="0">
    <w:p w:rsidR="00205CB6" w:rsidRDefault="00205CB6" w:rsidP="00205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5CB6" w:rsidRDefault="00205CB6" w:rsidP="00205CB6">
      <w:r>
        <w:separator/>
      </w:r>
    </w:p>
  </w:footnote>
  <w:footnote w:type="continuationSeparator" w:id="0">
    <w:p w:rsidR="00205CB6" w:rsidRDefault="00205CB6" w:rsidP="00205C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927D6"/>
    <w:multiLevelType w:val="hybridMultilevel"/>
    <w:tmpl w:val="F23471B0"/>
    <w:lvl w:ilvl="0" w:tplc="DA80F4F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>
      <w:start w:val="1"/>
      <w:numFmt w:val="lowerRoman"/>
      <w:lvlText w:val="%3."/>
      <w:lvlJc w:val="right"/>
      <w:pPr>
        <w:ind w:left="2160" w:hanging="180"/>
      </w:pPr>
    </w:lvl>
    <w:lvl w:ilvl="3" w:tplc="080C000F">
      <w:start w:val="1"/>
      <w:numFmt w:val="decimal"/>
      <w:lvlText w:val="%4."/>
      <w:lvlJc w:val="left"/>
      <w:pPr>
        <w:ind w:left="2880" w:hanging="360"/>
      </w:pPr>
    </w:lvl>
    <w:lvl w:ilvl="4" w:tplc="080C0019">
      <w:start w:val="1"/>
      <w:numFmt w:val="lowerLetter"/>
      <w:lvlText w:val="%5."/>
      <w:lvlJc w:val="left"/>
      <w:pPr>
        <w:ind w:left="3600" w:hanging="360"/>
      </w:pPr>
    </w:lvl>
    <w:lvl w:ilvl="5" w:tplc="080C001B">
      <w:start w:val="1"/>
      <w:numFmt w:val="lowerRoman"/>
      <w:lvlText w:val="%6."/>
      <w:lvlJc w:val="right"/>
      <w:pPr>
        <w:ind w:left="4320" w:hanging="180"/>
      </w:pPr>
    </w:lvl>
    <w:lvl w:ilvl="6" w:tplc="080C000F">
      <w:start w:val="1"/>
      <w:numFmt w:val="decimal"/>
      <w:lvlText w:val="%7."/>
      <w:lvlJc w:val="left"/>
      <w:pPr>
        <w:ind w:left="5040" w:hanging="360"/>
      </w:pPr>
    </w:lvl>
    <w:lvl w:ilvl="7" w:tplc="080C0019">
      <w:start w:val="1"/>
      <w:numFmt w:val="lowerLetter"/>
      <w:lvlText w:val="%8."/>
      <w:lvlJc w:val="left"/>
      <w:pPr>
        <w:ind w:left="5760" w:hanging="360"/>
      </w:pPr>
    </w:lvl>
    <w:lvl w:ilvl="8" w:tplc="080C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1A6951"/>
    <w:multiLevelType w:val="hybridMultilevel"/>
    <w:tmpl w:val="3C226E86"/>
    <w:lvl w:ilvl="0" w:tplc="B04E1EFE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CB6"/>
    <w:rsid w:val="00205CB6"/>
    <w:rsid w:val="00667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05CB6"/>
    <w:pPr>
      <w:spacing w:after="0" w:line="240" w:lineRule="auto"/>
    </w:pPr>
    <w:rPr>
      <w:rFonts w:ascii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205CB6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205CB6"/>
    <w:pPr>
      <w:ind w:left="720"/>
    </w:pPr>
    <w:rPr>
      <w:rFonts w:ascii="Calibri" w:hAnsi="Calibri"/>
      <w:sz w:val="22"/>
      <w:szCs w:val="22"/>
    </w:rPr>
  </w:style>
  <w:style w:type="paragraph" w:customStyle="1" w:styleId="Default">
    <w:name w:val="Default"/>
    <w:basedOn w:val="Standaard"/>
    <w:rsid w:val="00205CB6"/>
    <w:pPr>
      <w:autoSpaceDE w:val="0"/>
      <w:autoSpaceDN w:val="0"/>
    </w:pPr>
    <w:rPr>
      <w:rFonts w:ascii="Arial" w:hAnsi="Arial" w:cs="Arial"/>
      <w:color w:val="000000"/>
      <w:lang w:eastAsia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05CB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05CB6"/>
    <w:rPr>
      <w:rFonts w:ascii="Tahoma" w:hAnsi="Tahoma" w:cs="Tahoma"/>
      <w:sz w:val="16"/>
      <w:szCs w:val="16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205CB6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205CB6"/>
    <w:rPr>
      <w:rFonts w:ascii="Times New Roman" w:hAnsi="Times New Roman" w:cs="Times New Roman"/>
      <w:sz w:val="24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205CB6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205CB6"/>
    <w:rPr>
      <w:rFonts w:ascii="Times New Roman" w:hAnsi="Times New Roman" w:cs="Times New Roman"/>
      <w:sz w:val="24"/>
      <w:szCs w:val="24"/>
      <w:lang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05CB6"/>
    <w:pPr>
      <w:spacing w:after="0" w:line="240" w:lineRule="auto"/>
    </w:pPr>
    <w:rPr>
      <w:rFonts w:ascii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205CB6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205CB6"/>
    <w:pPr>
      <w:ind w:left="720"/>
    </w:pPr>
    <w:rPr>
      <w:rFonts w:ascii="Calibri" w:hAnsi="Calibri"/>
      <w:sz w:val="22"/>
      <w:szCs w:val="22"/>
    </w:rPr>
  </w:style>
  <w:style w:type="paragraph" w:customStyle="1" w:styleId="Default">
    <w:name w:val="Default"/>
    <w:basedOn w:val="Standaard"/>
    <w:rsid w:val="00205CB6"/>
    <w:pPr>
      <w:autoSpaceDE w:val="0"/>
      <w:autoSpaceDN w:val="0"/>
    </w:pPr>
    <w:rPr>
      <w:rFonts w:ascii="Arial" w:hAnsi="Arial" w:cs="Arial"/>
      <w:color w:val="000000"/>
      <w:lang w:eastAsia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05CB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05CB6"/>
    <w:rPr>
      <w:rFonts w:ascii="Tahoma" w:hAnsi="Tahoma" w:cs="Tahoma"/>
      <w:sz w:val="16"/>
      <w:szCs w:val="16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205CB6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205CB6"/>
    <w:rPr>
      <w:rFonts w:ascii="Times New Roman" w:hAnsi="Times New Roman" w:cs="Times New Roman"/>
      <w:sz w:val="24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205CB6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205CB6"/>
    <w:rPr>
      <w:rFonts w:ascii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63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ec.europa.eu/competition/state_aid/cases/253201/253201_1596705_59_2.pdf" TargetMode="External"/><Relationship Id="rId18" Type="http://schemas.openxmlformats.org/officeDocument/2006/relationships/hyperlink" Target="http://www.cfe-eutax.org" TargetMode="External"/><Relationship Id="rId3" Type="http://schemas.microsoft.com/office/2007/relationships/stylesWithEffects" Target="stylesWithEffects.xml"/><Relationship Id="rId21" Type="http://schemas.openxmlformats.org/officeDocument/2006/relationships/image" Target="cid:image004.png@01CFAA5C.15EA1810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ec.europa.eu/competition/state_aid/cases/253201/253201_1596706_60_2.pdf" TargetMode="External"/><Relationship Id="rId17" Type="http://schemas.openxmlformats.org/officeDocument/2006/relationships/hyperlink" Target="https://www.g20.org/sites/default/files/g20_resources/library/OECD_secretary-generals_report_tax_matters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20.org/sites/default/files/g20_resources/library/brisbane_g20_leaders_summit_communique.pdf" TargetMode="External"/><Relationship Id="rId20" Type="http://schemas.openxmlformats.org/officeDocument/2006/relationships/image" Target="media/image2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handelsblatt.com/politik/international/streit-um-patentboxen-london-und-berlin-loesen-differenzen/10960298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curia.europa.eu/juris/document/document.jsf?text=&amp;docid=159558&amp;pageIndex=0&amp;doclang=EN&amp;mode=lst&amp;dir=&amp;occ=first&amp;part=1&amp;cid=121181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ft.com/cms/s/0/8912f95e-6813-11e4-bcd5-00144feabdc0.html" TargetMode="External"/><Relationship Id="rId19" Type="http://schemas.openxmlformats.org/officeDocument/2006/relationships/hyperlink" Target="http://www.linkedin.com/company/confederation-fiscal-europeene?trk=company_name" TargetMode="External"/><Relationship Id="rId4" Type="http://schemas.openxmlformats.org/officeDocument/2006/relationships/settings" Target="settings.xml"/><Relationship Id="rId9" Type="http://schemas.openxmlformats.org/officeDocument/2006/relationships/image" Target="cid:image002.jpg@01D00298.1AA65FA0" TargetMode="External"/><Relationship Id="rId14" Type="http://schemas.openxmlformats.org/officeDocument/2006/relationships/hyperlink" Target="http://europa.eu/rapid/press-release_SPEECH-14-1720_en.ht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68CF33AE</Template>
  <TotalTime>1</TotalTime>
  <Pages>3</Pages>
  <Words>736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Nalan Baykal</dc:creator>
  <cp:lastModifiedBy>Nalan Baykal</cp:lastModifiedBy>
  <cp:revision>1</cp:revision>
  <dcterms:created xsi:type="dcterms:W3CDTF">2015-01-13T09:19:00Z</dcterms:created>
  <dcterms:modified xsi:type="dcterms:W3CDTF">2015-01-13T09:20:00Z</dcterms:modified>
</cp:coreProperties>
</file>