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72" w:rsidRDefault="00911372" w:rsidP="00911372">
      <w:pPr>
        <w:rPr>
          <w:rFonts w:ascii="Calibri" w:hAnsi="Calibri"/>
          <w:color w:val="1F497D"/>
          <w:sz w:val="22"/>
          <w:szCs w:val="22"/>
          <w:lang w:val="en-US" w:eastAsia="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911372" w:rsidTr="00911372">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911372">
              <w:trPr>
                <w:tblCellSpacing w:w="0" w:type="dxa"/>
              </w:trPr>
              <w:tc>
                <w:tcPr>
                  <w:tcW w:w="8205" w:type="dxa"/>
                  <w:vAlign w:val="center"/>
                  <w:hideMark/>
                </w:tcPr>
                <w:p w:rsidR="00911372" w:rsidRDefault="00911372">
                  <w:pPr>
                    <w:spacing w:line="276" w:lineRule="auto"/>
                    <w:jc w:val="both"/>
                    <w:rPr>
                      <w:rFonts w:ascii="Calibri" w:hAnsi="Calibri"/>
                      <w:sz w:val="22"/>
                      <w:szCs w:val="22"/>
                      <w:lang w:val="en-GB" w:eastAsia="en-US"/>
                    </w:rPr>
                  </w:pPr>
                  <w:r>
                    <w:rPr>
                      <w:rFonts w:ascii="Calibri" w:hAnsi="Calibri"/>
                      <w:noProof/>
                      <w:sz w:val="22"/>
                      <w:szCs w:val="22"/>
                    </w:rPr>
                    <w:drawing>
                      <wp:inline distT="0" distB="0" distL="0" distR="0">
                        <wp:extent cx="5762625" cy="666750"/>
                        <wp:effectExtent l="0" t="0" r="9525" b="0"/>
                        <wp:docPr id="2" name="Afbeelding 2" descr="cid:image003.jpg@01CFF1DE.69CB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FF1DE.69CB2B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911372" w:rsidRDefault="00911372">
                  <w:pPr>
                    <w:spacing w:line="276" w:lineRule="auto"/>
                    <w:jc w:val="both"/>
                    <w:rPr>
                      <w:rFonts w:ascii="Calibri" w:hAnsi="Calibri"/>
                      <w:color w:val="ACABAB"/>
                      <w:sz w:val="22"/>
                      <w:szCs w:val="22"/>
                      <w:lang w:val="en-GB" w:eastAsia="en-US"/>
                    </w:rPr>
                  </w:pPr>
                </w:p>
                <w:p w:rsidR="00911372" w:rsidRDefault="00911372">
                  <w:pPr>
                    <w:spacing w:line="276" w:lineRule="auto"/>
                    <w:jc w:val="both"/>
                    <w:rPr>
                      <w:rFonts w:ascii="Calibri" w:hAnsi="Calibri"/>
                      <w:color w:val="ACABAB"/>
                      <w:sz w:val="22"/>
                      <w:szCs w:val="22"/>
                      <w:lang w:val="en-GB" w:eastAsia="en-US"/>
                    </w:rPr>
                  </w:pPr>
                </w:p>
              </w:tc>
            </w:tr>
          </w:tbl>
          <w:p w:rsidR="00911372" w:rsidRDefault="00911372">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911372" w:rsidRDefault="00911372">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911372" w:rsidRDefault="00911372">
            <w:pPr>
              <w:shd w:val="clear" w:color="auto" w:fill="FEFEFE"/>
              <w:spacing w:line="276" w:lineRule="auto"/>
              <w:jc w:val="both"/>
              <w:rPr>
                <w:rFonts w:ascii="Calibri" w:hAnsi="Calibri"/>
                <w:b/>
                <w:bCs/>
                <w:color w:val="000000"/>
                <w:sz w:val="20"/>
                <w:szCs w:val="20"/>
                <w:lang w:val="en" w:eastAsia="en-US"/>
              </w:rPr>
            </w:pPr>
            <w:r>
              <w:rPr>
                <w:rFonts w:ascii="Calibri" w:hAnsi="Calibri"/>
                <w:b/>
                <w:bCs/>
                <w:color w:val="000000"/>
                <w:sz w:val="20"/>
                <w:szCs w:val="20"/>
                <w:lang w:val="en" w:eastAsia="en-US"/>
              </w:rPr>
              <w:t>                                                                                                                                                            </w:t>
            </w:r>
            <w:bookmarkStart w:id="0" w:name="_GoBack"/>
            <w:bookmarkEnd w:id="0"/>
            <w:r>
              <w:rPr>
                <w:rFonts w:ascii="Calibri" w:hAnsi="Calibri"/>
                <w:b/>
                <w:bCs/>
                <w:color w:val="000000"/>
                <w:sz w:val="20"/>
                <w:szCs w:val="20"/>
                <w:lang w:val="en" w:eastAsia="en-US"/>
              </w:rPr>
              <w:t>              27 October 2014</w:t>
            </w:r>
          </w:p>
          <w:p w:rsidR="00911372" w:rsidRDefault="00911372">
            <w:pPr>
              <w:pStyle w:val="Lijstalinea"/>
              <w:shd w:val="clear" w:color="auto" w:fill="FEFEFE"/>
              <w:spacing w:line="276" w:lineRule="auto"/>
              <w:ind w:left="927"/>
              <w:jc w:val="both"/>
              <w:rPr>
                <w:color w:val="000000"/>
                <w:sz w:val="20"/>
                <w:szCs w:val="20"/>
                <w:lang w:val="en" w:eastAsia="en-US"/>
              </w:rPr>
            </w:pPr>
          </w:p>
          <w:p w:rsidR="00911372" w:rsidRDefault="00911372">
            <w:pPr>
              <w:pStyle w:val="Lijstalinea"/>
              <w:shd w:val="clear" w:color="auto" w:fill="FEFEFE"/>
              <w:spacing w:line="276" w:lineRule="auto"/>
              <w:ind w:left="567"/>
              <w:jc w:val="both"/>
              <w:rPr>
                <w:color w:val="000000"/>
                <w:sz w:val="20"/>
                <w:szCs w:val="20"/>
                <w:lang w:val="en" w:eastAsia="en-US"/>
              </w:rPr>
            </w:pPr>
          </w:p>
          <w:p w:rsidR="00911372" w:rsidRDefault="00911372" w:rsidP="002549E1">
            <w:pPr>
              <w:numPr>
                <w:ilvl w:val="0"/>
                <w:numId w:val="1"/>
              </w:numPr>
              <w:spacing w:line="276" w:lineRule="auto"/>
              <w:jc w:val="both"/>
              <w:rPr>
                <w:rFonts w:ascii="Calibri" w:eastAsia="Times New Roman" w:hAnsi="Calibri"/>
                <w:b/>
                <w:bCs/>
                <w:sz w:val="20"/>
                <w:szCs w:val="20"/>
                <w:lang w:val="en-GB" w:eastAsia="en-US"/>
              </w:rPr>
            </w:pPr>
            <w:r>
              <w:rPr>
                <w:rFonts w:ascii="Calibri" w:eastAsia="Times New Roman" w:hAnsi="Calibri"/>
                <w:b/>
                <w:bCs/>
                <w:sz w:val="20"/>
                <w:szCs w:val="20"/>
                <w:lang w:val="en-GB" w:eastAsia="en-US"/>
              </w:rPr>
              <w:t xml:space="preserve">Improving Transparency and Combating Tax Avoidance to Top Agenda of Ninth Forum on Tax Administration, on 23-24 October 2014 in Dublin, Ireland </w:t>
            </w:r>
          </w:p>
          <w:p w:rsidR="00911372" w:rsidRDefault="00911372">
            <w:pPr>
              <w:spacing w:line="276" w:lineRule="auto"/>
              <w:ind w:left="720"/>
              <w:jc w:val="both"/>
              <w:rPr>
                <w:rFonts w:ascii="Calibri" w:hAnsi="Calibri"/>
                <w:sz w:val="20"/>
                <w:szCs w:val="20"/>
                <w:lang w:val="en-GB" w:eastAsia="en-US"/>
              </w:rPr>
            </w:pPr>
            <w:r>
              <w:rPr>
                <w:rFonts w:ascii="Calibri" w:hAnsi="Calibri"/>
                <w:sz w:val="20"/>
                <w:szCs w:val="20"/>
                <w:lang w:val="en-GB" w:eastAsia="en-US"/>
              </w:rPr>
              <w:t>Global initiatives like the OECD/G20 Base Erosion and Profit Shifting (BEPS) Project and the move toward automatic exchange of financial account information at a global level will take centre stage when Heads of Tax Administrations from 46 countries meet on 23-24 October in Dublin, Ireland.</w:t>
            </w:r>
          </w:p>
          <w:p w:rsidR="00911372" w:rsidRDefault="00911372">
            <w:pPr>
              <w:spacing w:line="276" w:lineRule="auto"/>
              <w:ind w:left="720"/>
              <w:jc w:val="both"/>
              <w:rPr>
                <w:rFonts w:ascii="Calibri" w:hAnsi="Calibri"/>
                <w:sz w:val="20"/>
                <w:szCs w:val="20"/>
                <w:lang w:val="en-GB" w:eastAsia="en-US"/>
              </w:rPr>
            </w:pPr>
            <w:r>
              <w:rPr>
                <w:rFonts w:ascii="Calibri" w:hAnsi="Calibri"/>
                <w:sz w:val="20"/>
                <w:szCs w:val="20"/>
                <w:lang w:val="en-GB" w:eastAsia="en-US"/>
              </w:rPr>
              <w:t>Participants in the Ninth Meeting of the OECD Forum on Tax Administration (FTA) will discuss how tax administrations can best improve taxpayer services and tax compliance, while boosting efficiency, effectiveness and the fairness of tax systems.  The FTA is the leading international body concerned with tax administration, bringing together the heads of tax administrations from the OECD, members of the G20 and large emerging economies.</w:t>
            </w:r>
          </w:p>
          <w:p w:rsidR="00911372" w:rsidRDefault="00911372">
            <w:pPr>
              <w:spacing w:line="276" w:lineRule="auto"/>
              <w:ind w:left="720"/>
              <w:jc w:val="both"/>
              <w:rPr>
                <w:rFonts w:ascii="Calibri" w:hAnsi="Calibri"/>
                <w:color w:val="1F497D"/>
                <w:sz w:val="20"/>
                <w:szCs w:val="20"/>
                <w:lang w:val="en-GB" w:eastAsia="en-US"/>
              </w:rPr>
            </w:pPr>
            <w:hyperlink r:id="rId8" w:history="1">
              <w:r>
                <w:rPr>
                  <w:rStyle w:val="Hyperlink"/>
                  <w:rFonts w:ascii="Calibri" w:hAnsi="Calibri"/>
                  <w:sz w:val="20"/>
                  <w:szCs w:val="20"/>
                  <w:lang w:val="en-GB" w:eastAsia="en-US"/>
                </w:rPr>
                <w:t>http://www.oecd.org/tax/improving-transparency-and-combating-tax-avoidance-to-top-agenda-of-ninth-forum-on-tax-administration.htm</w:t>
              </w:r>
            </w:hyperlink>
          </w:p>
          <w:p w:rsidR="00911372" w:rsidRDefault="00911372">
            <w:pPr>
              <w:spacing w:line="276" w:lineRule="auto"/>
              <w:ind w:left="360" w:firstLine="360"/>
              <w:jc w:val="both"/>
              <w:rPr>
                <w:rFonts w:ascii="Calibri" w:hAnsi="Calibri"/>
                <w:sz w:val="20"/>
                <w:szCs w:val="20"/>
                <w:lang w:val="en-GB" w:eastAsia="en-US"/>
              </w:rPr>
            </w:pPr>
          </w:p>
          <w:p w:rsidR="00911372" w:rsidRDefault="00911372" w:rsidP="002549E1">
            <w:pPr>
              <w:numPr>
                <w:ilvl w:val="0"/>
                <w:numId w:val="1"/>
              </w:numPr>
              <w:spacing w:line="276" w:lineRule="auto"/>
              <w:jc w:val="both"/>
              <w:rPr>
                <w:rFonts w:ascii="Calibri" w:eastAsia="Times New Roman" w:hAnsi="Calibri"/>
                <w:b/>
                <w:bCs/>
                <w:sz w:val="20"/>
                <w:szCs w:val="20"/>
                <w:lang w:val="en-GB" w:eastAsia="en-US"/>
              </w:rPr>
            </w:pPr>
            <w:r>
              <w:rPr>
                <w:rFonts w:ascii="Calibri" w:eastAsia="Times New Roman" w:hAnsi="Calibri"/>
                <w:b/>
                <w:bCs/>
                <w:sz w:val="20"/>
                <w:szCs w:val="20"/>
                <w:lang w:val="en-GB" w:eastAsia="en-US"/>
              </w:rPr>
              <w:t>EU Taxation - Study confirms billions lost in VAT Gap:</w:t>
            </w:r>
          </w:p>
          <w:p w:rsidR="00911372" w:rsidRDefault="00911372">
            <w:pPr>
              <w:spacing w:line="276" w:lineRule="auto"/>
              <w:jc w:val="both"/>
              <w:rPr>
                <w:rStyle w:val="Hyperlink"/>
              </w:rPr>
            </w:pPr>
            <w:r>
              <w:rPr>
                <w:rFonts w:ascii="Calibri" w:hAnsi="Calibri"/>
                <w:sz w:val="20"/>
                <w:szCs w:val="20"/>
                <w:lang w:val="en-GB" w:eastAsia="en-US"/>
              </w:rPr>
              <w:t xml:space="preserve">                </w:t>
            </w:r>
            <w:hyperlink r:id="rId9" w:history="1">
              <w:r>
                <w:rPr>
                  <w:rStyle w:val="Hyperlink"/>
                  <w:rFonts w:ascii="Calibri" w:hAnsi="Calibri"/>
                  <w:sz w:val="20"/>
                  <w:szCs w:val="20"/>
                  <w:lang w:val="en-GB" w:eastAsia="en-US"/>
                </w:rPr>
                <w:t xml:space="preserve">http://ec.europa.eu/taxation_customs/resources/documents/common/publications/studies </w:t>
              </w:r>
            </w:hyperlink>
          </w:p>
          <w:p w:rsidR="00911372" w:rsidRDefault="00911372">
            <w:pPr>
              <w:spacing w:line="276" w:lineRule="auto"/>
              <w:ind w:left="360" w:firstLine="360"/>
              <w:jc w:val="both"/>
            </w:pPr>
            <w:hyperlink r:id="rId10" w:history="1">
              <w:r>
                <w:rPr>
                  <w:rStyle w:val="Hyperlink"/>
                  <w:rFonts w:ascii="Calibri" w:hAnsi="Calibri"/>
                  <w:sz w:val="20"/>
                  <w:szCs w:val="20"/>
                  <w:lang w:val="en-GB" w:eastAsia="en-US"/>
                </w:rPr>
                <w:t>/vat_gap2012.pdf</w:t>
              </w:r>
            </w:hyperlink>
          </w:p>
          <w:p w:rsidR="00911372" w:rsidRDefault="00911372">
            <w:pPr>
              <w:spacing w:line="276" w:lineRule="auto"/>
              <w:ind w:left="720"/>
              <w:jc w:val="both"/>
              <w:rPr>
                <w:rFonts w:ascii="Calibri" w:hAnsi="Calibri"/>
                <w:b/>
                <w:bCs/>
                <w:sz w:val="20"/>
                <w:szCs w:val="20"/>
                <w:lang w:val="en-GB" w:eastAsia="en-US"/>
              </w:rPr>
            </w:pPr>
          </w:p>
          <w:p w:rsidR="00911372" w:rsidRDefault="00911372" w:rsidP="002549E1">
            <w:pPr>
              <w:numPr>
                <w:ilvl w:val="0"/>
                <w:numId w:val="1"/>
              </w:numPr>
              <w:spacing w:line="276" w:lineRule="auto"/>
              <w:jc w:val="both"/>
              <w:rPr>
                <w:rFonts w:ascii="Calibri" w:eastAsia="Times New Roman" w:hAnsi="Calibri"/>
                <w:sz w:val="20"/>
                <w:szCs w:val="20"/>
                <w:lang w:val="en-GB" w:eastAsia="en-US"/>
              </w:rPr>
            </w:pPr>
            <w:r>
              <w:rPr>
                <w:rFonts w:ascii="Calibri" w:eastAsia="Times New Roman" w:hAnsi="Calibri"/>
                <w:b/>
                <w:bCs/>
                <w:sz w:val="20"/>
                <w:szCs w:val="20"/>
                <w:lang w:val="en-GB" w:eastAsia="en-US"/>
              </w:rPr>
              <w:t xml:space="preserve">DG </w:t>
            </w:r>
            <w:proofErr w:type="spellStart"/>
            <w:r>
              <w:rPr>
                <w:rFonts w:ascii="Calibri" w:eastAsia="Times New Roman" w:hAnsi="Calibri"/>
                <w:b/>
                <w:bCs/>
                <w:sz w:val="20"/>
                <w:szCs w:val="20"/>
                <w:lang w:val="en-GB" w:eastAsia="en-US"/>
              </w:rPr>
              <w:t>ECFin</w:t>
            </w:r>
            <w:proofErr w:type="spellEnd"/>
            <w:r>
              <w:rPr>
                <w:rFonts w:ascii="Calibri" w:eastAsia="Times New Roman" w:hAnsi="Calibri"/>
                <w:b/>
                <w:bCs/>
                <w:sz w:val="20"/>
                <w:szCs w:val="20"/>
                <w:lang w:val="en-GB" w:eastAsia="en-US"/>
              </w:rPr>
              <w:t xml:space="preserve"> publication - Tax reforms in EU member states:</w:t>
            </w:r>
          </w:p>
          <w:p w:rsidR="00911372" w:rsidRDefault="00911372">
            <w:pPr>
              <w:spacing w:line="276" w:lineRule="auto"/>
              <w:ind w:left="720"/>
              <w:jc w:val="both"/>
              <w:rPr>
                <w:rFonts w:ascii="Calibri" w:hAnsi="Calibri"/>
                <w:sz w:val="20"/>
                <w:szCs w:val="20"/>
                <w:lang w:val="en-GB" w:eastAsia="en-US"/>
              </w:rPr>
            </w:pPr>
            <w:hyperlink r:id="rId11" w:history="1">
              <w:r>
                <w:rPr>
                  <w:rStyle w:val="Hyperlink"/>
                  <w:rFonts w:ascii="Calibri" w:hAnsi="Calibri"/>
                  <w:sz w:val="20"/>
                  <w:szCs w:val="20"/>
                  <w:lang w:val="en-GB" w:eastAsia="en-US"/>
                </w:rPr>
                <w:t>http://ec.europa.eu/economy_finance/publications/european_economy/2014/pdf/ee6_en.pdf</w:t>
              </w:r>
            </w:hyperlink>
            <w:r>
              <w:rPr>
                <w:rFonts w:ascii="Calibri" w:hAnsi="Calibri"/>
                <w:sz w:val="20"/>
                <w:szCs w:val="20"/>
                <w:lang w:val="en-US" w:eastAsia="en-US"/>
              </w:rPr>
              <w:t xml:space="preserve"> </w:t>
            </w:r>
          </w:p>
          <w:p w:rsidR="00911372" w:rsidRDefault="00911372">
            <w:pPr>
              <w:spacing w:line="276" w:lineRule="auto"/>
              <w:ind w:left="720"/>
              <w:jc w:val="both"/>
              <w:rPr>
                <w:rFonts w:ascii="Calibri" w:hAnsi="Calibri"/>
                <w:sz w:val="20"/>
                <w:szCs w:val="20"/>
                <w:lang w:val="en-GB" w:eastAsia="en-US"/>
              </w:rPr>
            </w:pPr>
          </w:p>
          <w:p w:rsidR="00911372" w:rsidRDefault="00911372" w:rsidP="002549E1">
            <w:pPr>
              <w:numPr>
                <w:ilvl w:val="0"/>
                <w:numId w:val="1"/>
              </w:numPr>
              <w:spacing w:line="276" w:lineRule="auto"/>
              <w:jc w:val="both"/>
              <w:rPr>
                <w:rFonts w:ascii="Calibri" w:eastAsia="Times New Roman" w:hAnsi="Calibri"/>
                <w:sz w:val="20"/>
                <w:szCs w:val="20"/>
                <w:lang w:val="en-GB" w:eastAsia="en-US"/>
              </w:rPr>
            </w:pPr>
            <w:r>
              <w:rPr>
                <w:rFonts w:ascii="Calibri" w:eastAsia="Times New Roman" w:hAnsi="Calibri"/>
                <w:b/>
                <w:bCs/>
                <w:sz w:val="20"/>
                <w:szCs w:val="20"/>
                <w:lang w:val="en-GB" w:eastAsia="en-US"/>
              </w:rPr>
              <w:t>New Zealand - New Zealand’s Inland Revenue’s  position concerning certain scenarios (following June 2014’s consultation) that would be subject to the general tax anti-avoidance rule:</w:t>
            </w:r>
          </w:p>
          <w:p w:rsidR="00911372" w:rsidRDefault="00911372">
            <w:pPr>
              <w:spacing w:line="276" w:lineRule="auto"/>
              <w:ind w:firstLine="720"/>
              <w:jc w:val="both"/>
              <w:rPr>
                <w:rFonts w:ascii="Calibri" w:hAnsi="Calibri"/>
                <w:sz w:val="20"/>
                <w:szCs w:val="20"/>
                <w:lang w:val="en-GB" w:eastAsia="en-US"/>
              </w:rPr>
            </w:pPr>
            <w:hyperlink r:id="rId12" w:history="1">
              <w:r>
                <w:rPr>
                  <w:rStyle w:val="Hyperlink"/>
                  <w:rFonts w:ascii="Calibri" w:hAnsi="Calibri"/>
                  <w:sz w:val="20"/>
                  <w:szCs w:val="20"/>
                  <w:lang w:val="en-GB" w:eastAsia="en-US"/>
                </w:rPr>
                <w:t>https://www.ird.govt.nz/resources/1/0/10876180402363a989fbef5d802abedf/is1301.pdf</w:t>
              </w:r>
            </w:hyperlink>
          </w:p>
          <w:p w:rsidR="00911372" w:rsidRDefault="00911372">
            <w:pPr>
              <w:spacing w:line="276" w:lineRule="auto"/>
              <w:ind w:left="720"/>
              <w:jc w:val="both"/>
              <w:rPr>
                <w:rFonts w:ascii="Calibri" w:hAnsi="Calibri"/>
                <w:b/>
                <w:bCs/>
                <w:sz w:val="20"/>
                <w:szCs w:val="20"/>
                <w:lang w:val="en-GB" w:eastAsia="en-US"/>
              </w:rPr>
            </w:pPr>
          </w:p>
          <w:p w:rsidR="00911372" w:rsidRDefault="00911372" w:rsidP="002549E1">
            <w:pPr>
              <w:numPr>
                <w:ilvl w:val="0"/>
                <w:numId w:val="1"/>
              </w:numPr>
              <w:spacing w:line="276" w:lineRule="auto"/>
              <w:jc w:val="both"/>
              <w:rPr>
                <w:rFonts w:ascii="Calibri" w:eastAsia="Times New Roman" w:hAnsi="Calibri"/>
                <w:sz w:val="20"/>
                <w:szCs w:val="20"/>
                <w:lang w:val="en-GB" w:eastAsia="en-US"/>
              </w:rPr>
            </w:pPr>
            <w:r>
              <w:rPr>
                <w:rFonts w:ascii="Calibri" w:eastAsia="Times New Roman" w:hAnsi="Calibri"/>
                <w:b/>
                <w:bCs/>
                <w:sz w:val="20"/>
                <w:szCs w:val="20"/>
                <w:lang w:val="en-GB" w:eastAsia="en-US"/>
              </w:rPr>
              <w:t>Commission asks GERMANY to stop discriminatory taxation of legacies to foreign charities</w:t>
            </w:r>
            <w:r>
              <w:rPr>
                <w:rFonts w:ascii="Calibri" w:eastAsia="Times New Roman" w:hAnsi="Calibri"/>
                <w:sz w:val="20"/>
                <w:szCs w:val="20"/>
                <w:lang w:val="en-GB" w:eastAsia="en-US"/>
              </w:rPr>
              <w:t xml:space="preserve"> </w:t>
            </w:r>
          </w:p>
          <w:p w:rsidR="00911372" w:rsidRDefault="00911372">
            <w:pPr>
              <w:spacing w:line="276" w:lineRule="auto"/>
              <w:ind w:left="720"/>
              <w:jc w:val="both"/>
              <w:rPr>
                <w:rFonts w:ascii="Calibri" w:hAnsi="Calibri"/>
                <w:sz w:val="20"/>
                <w:szCs w:val="20"/>
                <w:lang w:val="en-GB" w:eastAsia="en-US"/>
              </w:rPr>
            </w:pPr>
            <w:r>
              <w:rPr>
                <w:rFonts w:ascii="Calibri" w:hAnsi="Calibri"/>
                <w:sz w:val="20"/>
                <w:szCs w:val="20"/>
                <w:lang w:val="en-GB" w:eastAsia="en-US"/>
              </w:rPr>
              <w:t>16 October: The Commission has requested that Germany amend its discriminatory inheritance tax legislation, with regard to legacies to charities in other Member States or EEA States because it is in breach of EU rules on free movement of capital.</w:t>
            </w:r>
          </w:p>
          <w:p w:rsidR="00911372" w:rsidRDefault="00911372">
            <w:pPr>
              <w:spacing w:line="276" w:lineRule="auto"/>
              <w:ind w:left="720"/>
              <w:jc w:val="both"/>
              <w:rPr>
                <w:rFonts w:ascii="Calibri" w:hAnsi="Calibri"/>
                <w:sz w:val="20"/>
                <w:szCs w:val="20"/>
                <w:lang w:val="en-GB" w:eastAsia="en-US"/>
              </w:rPr>
            </w:pPr>
            <w:r>
              <w:rPr>
                <w:rFonts w:ascii="Calibri" w:hAnsi="Calibri"/>
                <w:sz w:val="20"/>
                <w:szCs w:val="20"/>
                <w:lang w:val="en-GB" w:eastAsia="en-US"/>
              </w:rPr>
              <w:t xml:space="preserve">The German legislation treats legacies to charities established in other EU/EEA States less favourably than legacies to certain charities established in Germany. Domestic charities are granted an exemption from inheritance tax. However, similar charities established in other EU/EEA States may only enjoy this tax exemption if their State of residence grants an equivalent or reciprocal exemption to comparable German charities. As a result, legacies to foreign charities are frequently more heavily taxed than legacies to German charities. The Commission considers that this is discriminatory and constitutes an unjustified restriction on the free movement of capital. The request sent to Germany takes the form of </w:t>
            </w:r>
            <w:r>
              <w:rPr>
                <w:rFonts w:ascii="Calibri" w:hAnsi="Calibri"/>
                <w:sz w:val="20"/>
                <w:szCs w:val="20"/>
                <w:lang w:val="en-GB" w:eastAsia="en-US"/>
              </w:rPr>
              <w:lastRenderedPageBreak/>
              <w:t xml:space="preserve">a Reasoned Opinion. If Germany does not comply within two months, the Commission may refer it to the Court of Justice of the European Union. </w:t>
            </w:r>
            <w:hyperlink r:id="rId13" w:history="1">
              <w:r>
                <w:rPr>
                  <w:rStyle w:val="Hyperlink"/>
                  <w:rFonts w:ascii="Calibri" w:hAnsi="Calibri"/>
                  <w:sz w:val="20"/>
                  <w:szCs w:val="20"/>
                  <w:lang w:val="en-GB" w:eastAsia="en-US"/>
                </w:rPr>
                <w:t>http://europa.eu/rapid/press-release_MEMO-14-589_en.htm</w:t>
              </w:r>
            </w:hyperlink>
            <w:r>
              <w:rPr>
                <w:rFonts w:ascii="Calibri" w:hAnsi="Calibri"/>
                <w:sz w:val="20"/>
                <w:szCs w:val="20"/>
                <w:lang w:val="en-US" w:eastAsia="en-US"/>
              </w:rPr>
              <w:t xml:space="preserve"> </w:t>
            </w:r>
          </w:p>
          <w:p w:rsidR="00911372" w:rsidRDefault="00911372">
            <w:pPr>
              <w:spacing w:line="276" w:lineRule="auto"/>
              <w:ind w:left="720"/>
              <w:jc w:val="both"/>
              <w:rPr>
                <w:rFonts w:ascii="Calibri" w:hAnsi="Calibri"/>
                <w:sz w:val="20"/>
                <w:szCs w:val="20"/>
                <w:lang w:val="en-GB" w:eastAsia="en-US"/>
              </w:rPr>
            </w:pPr>
          </w:p>
          <w:p w:rsidR="00911372" w:rsidRDefault="00911372" w:rsidP="002549E1">
            <w:pPr>
              <w:numPr>
                <w:ilvl w:val="0"/>
                <w:numId w:val="1"/>
              </w:numPr>
              <w:spacing w:line="276" w:lineRule="auto"/>
              <w:jc w:val="both"/>
              <w:rPr>
                <w:rFonts w:ascii="Calibri" w:eastAsia="Times New Roman" w:hAnsi="Calibri"/>
                <w:b/>
                <w:bCs/>
                <w:sz w:val="20"/>
                <w:szCs w:val="20"/>
                <w:lang w:val="en-GB" w:eastAsia="en-US"/>
              </w:rPr>
            </w:pPr>
            <w:r>
              <w:rPr>
                <w:rFonts w:ascii="Calibri" w:eastAsia="Times New Roman" w:hAnsi="Calibri"/>
                <w:b/>
                <w:bCs/>
                <w:sz w:val="20"/>
                <w:szCs w:val="20"/>
                <w:lang w:val="en-GB" w:eastAsia="en-US"/>
              </w:rPr>
              <w:t xml:space="preserve">Commission asks ROMANIA to stop the discriminatory tax treatment of foreign legal entities </w:t>
            </w:r>
          </w:p>
          <w:p w:rsidR="00911372" w:rsidRDefault="00911372">
            <w:pPr>
              <w:spacing w:line="276" w:lineRule="auto"/>
              <w:ind w:left="720"/>
              <w:jc w:val="both"/>
              <w:rPr>
                <w:rFonts w:ascii="Calibri" w:hAnsi="Calibri"/>
                <w:b/>
                <w:bCs/>
                <w:sz w:val="20"/>
                <w:szCs w:val="20"/>
                <w:lang w:val="en-GB" w:eastAsia="en-US"/>
              </w:rPr>
            </w:pPr>
            <w:r>
              <w:rPr>
                <w:rFonts w:ascii="Calibri" w:hAnsi="Calibri"/>
                <w:b/>
                <w:bCs/>
                <w:sz w:val="20"/>
                <w:szCs w:val="20"/>
                <w:lang w:val="en-GB" w:eastAsia="en-US"/>
              </w:rPr>
              <w:t>16 October</w:t>
            </w:r>
            <w:r>
              <w:rPr>
                <w:rFonts w:ascii="Calibri" w:hAnsi="Calibri"/>
                <w:sz w:val="20"/>
                <w:szCs w:val="20"/>
                <w:lang w:val="en-GB" w:eastAsia="en-US"/>
              </w:rPr>
              <w:t>: The Commission has requested Romania to amend its rules on the taxation of interest income because they restrict the free provision of services and the free movement of capital in the EU single market. Currently, resident legal entities can deduct the business expenses related to generating interest income. This results only their net income being taxed. However, legal entities established in another EU/EEA State and without a permanent establishment in Romania cannot benefit from such a deduction, and are taxed more heavily on their gross interest income obtained directly from Romania.</w:t>
            </w:r>
          </w:p>
          <w:p w:rsidR="00911372" w:rsidRDefault="00911372">
            <w:pPr>
              <w:spacing w:line="276" w:lineRule="auto"/>
              <w:ind w:left="720"/>
              <w:jc w:val="both"/>
              <w:rPr>
                <w:rFonts w:ascii="Calibri" w:hAnsi="Calibri"/>
                <w:sz w:val="20"/>
                <w:szCs w:val="20"/>
                <w:lang w:val="en-GB" w:eastAsia="en-US"/>
              </w:rPr>
            </w:pPr>
            <w:r>
              <w:rPr>
                <w:rFonts w:ascii="Calibri" w:hAnsi="Calibri"/>
                <w:sz w:val="20"/>
                <w:szCs w:val="20"/>
                <w:lang w:val="en-GB" w:eastAsia="en-US"/>
              </w:rPr>
              <w:t xml:space="preserve">The Commission sees no valid justification for this different tax treatment, and considers it to be discriminatory and a restriction on the free movement of services. It therefore has asked Romania to amend its rules to bring them into line with EU law. The request is in the form of a Reasoned Opinion. In the absence of a satisfactory response within two months, the Commission may refer Romania to the Court of Justice of the European Union. </w:t>
            </w:r>
            <w:hyperlink r:id="rId14" w:history="1">
              <w:r>
                <w:rPr>
                  <w:rStyle w:val="Hyperlink"/>
                  <w:rFonts w:ascii="Calibri" w:hAnsi="Calibri"/>
                  <w:sz w:val="20"/>
                  <w:szCs w:val="20"/>
                  <w:lang w:val="en-GB" w:eastAsia="en-US"/>
                </w:rPr>
                <w:t>http://europa.eu/rapid/press-release_MEMO-14-589_en.htm</w:t>
              </w:r>
            </w:hyperlink>
            <w:r>
              <w:rPr>
                <w:rFonts w:ascii="Calibri" w:hAnsi="Calibri"/>
                <w:sz w:val="20"/>
                <w:szCs w:val="20"/>
                <w:lang w:val="en-US" w:eastAsia="en-US"/>
              </w:rPr>
              <w:t xml:space="preserve"> </w:t>
            </w:r>
          </w:p>
          <w:p w:rsidR="00911372" w:rsidRDefault="00911372">
            <w:pPr>
              <w:pStyle w:val="Lijstalinea"/>
              <w:spacing w:line="276" w:lineRule="auto"/>
              <w:ind w:left="644"/>
              <w:jc w:val="both"/>
              <w:rPr>
                <w:sz w:val="20"/>
                <w:szCs w:val="20"/>
                <w:lang w:val="en-GB" w:eastAsia="en-US"/>
              </w:rPr>
            </w:pPr>
          </w:p>
          <w:p w:rsidR="00911372" w:rsidRDefault="00911372">
            <w:pPr>
              <w:pStyle w:val="Lijstalinea"/>
              <w:spacing w:line="276" w:lineRule="auto"/>
              <w:ind w:left="644"/>
              <w:jc w:val="both"/>
              <w:rPr>
                <w:sz w:val="20"/>
                <w:szCs w:val="20"/>
                <w:lang w:val="en-GB" w:eastAsia="en-US"/>
              </w:rPr>
            </w:pPr>
          </w:p>
          <w:p w:rsidR="00911372" w:rsidRDefault="00911372">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911372" w:rsidRDefault="00911372">
            <w:pPr>
              <w:spacing w:line="276" w:lineRule="auto"/>
              <w:jc w:val="both"/>
              <w:rPr>
                <w:rFonts w:ascii="Calibri" w:hAnsi="Calibri"/>
                <w:sz w:val="20"/>
                <w:szCs w:val="20"/>
                <w:lang w:val="en-GB" w:eastAsia="en-US"/>
              </w:rPr>
            </w:pPr>
          </w:p>
          <w:p w:rsidR="00911372" w:rsidRDefault="00911372">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911372" w:rsidRDefault="00911372">
            <w:pPr>
              <w:pStyle w:val="Lijstalinea"/>
              <w:spacing w:line="276" w:lineRule="auto"/>
              <w:ind w:left="126"/>
              <w:jc w:val="center"/>
              <w:rPr>
                <w:i/>
                <w:iCs/>
                <w:sz w:val="20"/>
                <w:szCs w:val="20"/>
                <w:lang w:val="en-GB" w:eastAsia="en-US"/>
              </w:rPr>
            </w:pPr>
          </w:p>
          <w:p w:rsidR="00911372" w:rsidRDefault="00911372">
            <w:pPr>
              <w:pStyle w:val="Lijstalinea"/>
              <w:spacing w:line="276" w:lineRule="auto"/>
              <w:ind w:left="126"/>
              <w:jc w:val="center"/>
              <w:rPr>
                <w:rStyle w:val="Hyperlink"/>
                <w:lang w:val="en-US"/>
              </w:rPr>
            </w:pPr>
            <w:hyperlink r:id="rId15" w:history="1">
              <w:r>
                <w:rPr>
                  <w:rStyle w:val="Hyperlink"/>
                  <w:i/>
                  <w:iCs/>
                  <w:sz w:val="20"/>
                  <w:szCs w:val="20"/>
                  <w:lang w:val="en-GB" w:eastAsia="en-US"/>
                </w:rPr>
                <w:t>www.cfe-eutax.org</w:t>
              </w:r>
            </w:hyperlink>
          </w:p>
          <w:p w:rsidR="00911372" w:rsidRDefault="00911372">
            <w:pPr>
              <w:pStyle w:val="Lijstalinea"/>
              <w:spacing w:line="276" w:lineRule="auto"/>
              <w:ind w:left="126"/>
              <w:jc w:val="center"/>
              <w:rPr>
                <w:rStyle w:val="Hyperlink"/>
                <w:i/>
                <w:iCs/>
                <w:sz w:val="20"/>
                <w:szCs w:val="20"/>
                <w:lang w:val="en-GB" w:eastAsia="en-US"/>
              </w:rPr>
            </w:pPr>
          </w:p>
          <w:p w:rsidR="00911372" w:rsidRDefault="00911372">
            <w:pPr>
              <w:pStyle w:val="Lijstalinea"/>
              <w:spacing w:line="276" w:lineRule="auto"/>
              <w:ind w:left="126"/>
              <w:jc w:val="center"/>
              <w:rPr>
                <w:lang w:val="en-US"/>
              </w:rPr>
            </w:pPr>
            <w:r>
              <w:rPr>
                <w:i/>
                <w:iCs/>
                <w:sz w:val="20"/>
                <w:szCs w:val="20"/>
                <w:lang w:val="en-US" w:eastAsia="en-US"/>
              </w:rPr>
              <w:t xml:space="preserve">Follow us on </w:t>
            </w:r>
            <w:hyperlink r:id="rId16"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CFAA5C.15EA18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val="en-US" w:eastAsia="en-US"/>
              </w:rPr>
              <w:t>  </w:t>
            </w:r>
          </w:p>
        </w:tc>
      </w:tr>
      <w:tr w:rsidR="00911372" w:rsidTr="00911372">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911372">
              <w:trPr>
                <w:tblCellSpacing w:w="0" w:type="dxa"/>
              </w:trPr>
              <w:tc>
                <w:tcPr>
                  <w:tcW w:w="0" w:type="auto"/>
                  <w:vAlign w:val="center"/>
                  <w:hideMark/>
                </w:tcPr>
                <w:p w:rsidR="00911372" w:rsidRDefault="00911372">
                  <w:pPr>
                    <w:spacing w:line="276" w:lineRule="auto"/>
                    <w:rPr>
                      <w:rFonts w:ascii="Calibri" w:hAnsi="Calibri"/>
                      <w:sz w:val="22"/>
                      <w:szCs w:val="22"/>
                      <w:lang w:val="en-GB" w:eastAsia="en-US"/>
                    </w:rPr>
                  </w:pPr>
                  <w:r>
                    <w:rPr>
                      <w:rFonts w:ascii="Calibri" w:hAnsi="Calibri"/>
                      <w:sz w:val="22"/>
                      <w:szCs w:val="22"/>
                      <w:lang w:val="en-GB" w:eastAsia="en-US"/>
                    </w:rPr>
                    <w:lastRenderedPageBreak/>
                    <w:t> </w:t>
                  </w:r>
                </w:p>
              </w:tc>
            </w:tr>
            <w:tr w:rsidR="00911372">
              <w:trPr>
                <w:tblCellSpacing w:w="0" w:type="dxa"/>
              </w:trPr>
              <w:tc>
                <w:tcPr>
                  <w:tcW w:w="0" w:type="auto"/>
                  <w:vAlign w:val="center"/>
                </w:tcPr>
                <w:p w:rsidR="00911372" w:rsidRDefault="00911372">
                  <w:pPr>
                    <w:spacing w:line="276" w:lineRule="auto"/>
                    <w:rPr>
                      <w:rFonts w:ascii="Calibri" w:hAnsi="Calibri"/>
                      <w:sz w:val="22"/>
                      <w:szCs w:val="22"/>
                      <w:lang w:val="en-GB" w:eastAsia="en-US"/>
                    </w:rPr>
                  </w:pPr>
                </w:p>
              </w:tc>
            </w:tr>
          </w:tbl>
          <w:p w:rsidR="00911372" w:rsidRDefault="00911372">
            <w:pPr>
              <w:rPr>
                <w:rFonts w:eastAsia="Times New Roman"/>
                <w:sz w:val="20"/>
                <w:szCs w:val="20"/>
              </w:rPr>
            </w:pPr>
          </w:p>
        </w:tc>
      </w:tr>
    </w:tbl>
    <w:p w:rsidR="00911372" w:rsidRDefault="00911372" w:rsidP="00911372">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7D6"/>
    <w:multiLevelType w:val="hybridMultilevel"/>
    <w:tmpl w:val="F23471B0"/>
    <w:lvl w:ilvl="0" w:tplc="DA80F4F8">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72"/>
    <w:rsid w:val="00667086"/>
    <w:rsid w:val="00911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37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11372"/>
    <w:rPr>
      <w:color w:val="0000FF"/>
      <w:u w:val="single"/>
    </w:rPr>
  </w:style>
  <w:style w:type="paragraph" w:styleId="Lijstalinea">
    <w:name w:val="List Paragraph"/>
    <w:basedOn w:val="Standaard"/>
    <w:uiPriority w:val="34"/>
    <w:qFormat/>
    <w:rsid w:val="00911372"/>
    <w:pPr>
      <w:ind w:left="720"/>
    </w:pPr>
    <w:rPr>
      <w:rFonts w:ascii="Calibri" w:hAnsi="Calibri"/>
      <w:sz w:val="22"/>
      <w:szCs w:val="22"/>
    </w:rPr>
  </w:style>
  <w:style w:type="paragraph" w:styleId="Ballontekst">
    <w:name w:val="Balloon Text"/>
    <w:basedOn w:val="Standaard"/>
    <w:link w:val="BallontekstChar"/>
    <w:uiPriority w:val="99"/>
    <w:semiHidden/>
    <w:unhideWhenUsed/>
    <w:rsid w:val="00911372"/>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372"/>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37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11372"/>
    <w:rPr>
      <w:color w:val="0000FF"/>
      <w:u w:val="single"/>
    </w:rPr>
  </w:style>
  <w:style w:type="paragraph" w:styleId="Lijstalinea">
    <w:name w:val="List Paragraph"/>
    <w:basedOn w:val="Standaard"/>
    <w:uiPriority w:val="34"/>
    <w:qFormat/>
    <w:rsid w:val="00911372"/>
    <w:pPr>
      <w:ind w:left="720"/>
    </w:pPr>
    <w:rPr>
      <w:rFonts w:ascii="Calibri" w:hAnsi="Calibri"/>
      <w:sz w:val="22"/>
      <w:szCs w:val="22"/>
    </w:rPr>
  </w:style>
  <w:style w:type="paragraph" w:styleId="Ballontekst">
    <w:name w:val="Balloon Text"/>
    <w:basedOn w:val="Standaard"/>
    <w:link w:val="BallontekstChar"/>
    <w:uiPriority w:val="99"/>
    <w:semiHidden/>
    <w:unhideWhenUsed/>
    <w:rsid w:val="00911372"/>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372"/>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improving-transparency-and-combating-tax-avoidance-to-top-agenda-of-ninth-forum-on-tax-administration.htm" TargetMode="External"/><Relationship Id="rId13" Type="http://schemas.openxmlformats.org/officeDocument/2006/relationships/hyperlink" Target="http://europa.eu/rapid/press-release_MEMO-14-589_en.htm" TargetMode="External"/><Relationship Id="rId18" Type="http://schemas.openxmlformats.org/officeDocument/2006/relationships/image" Target="cid:image004.png@01CFAA5C.15EA1810" TargetMode="External"/><Relationship Id="rId3" Type="http://schemas.microsoft.com/office/2007/relationships/stylesWithEffects" Target="stylesWithEffects.xml"/><Relationship Id="rId7" Type="http://schemas.openxmlformats.org/officeDocument/2006/relationships/image" Target="cid:image003.jpg@01CFF1DE.69CB2B30" TargetMode="External"/><Relationship Id="rId12" Type="http://schemas.openxmlformats.org/officeDocument/2006/relationships/hyperlink" Target="https://www.ird.govt.nz/resources/1/0/10876180402363a989fbef5d802abedf/is1301.pd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linkedin.com/company/confederation-fiscal-europeene?trk=company_na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c.europa.eu/economy_finance/publications/european_economy/2014/pdf/ee6_en.pdf" TargetMode="External"/><Relationship Id="rId5" Type="http://schemas.openxmlformats.org/officeDocument/2006/relationships/webSettings" Target="webSettings.xml"/><Relationship Id="rId15" Type="http://schemas.openxmlformats.org/officeDocument/2006/relationships/hyperlink" Target="http://www.cfe-eutax.org" TargetMode="External"/><Relationship Id="rId10" Type="http://schemas.openxmlformats.org/officeDocument/2006/relationships/hyperlink" Target="http://ec.europa.eu/taxation_customs/resources/documents/common/publications/studies%20%0d/vat_gap201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taxation_customs/resources/documents/common/publications/studies%20%0d/vat_gap2012.pdf" TargetMode="External"/><Relationship Id="rId14" Type="http://schemas.openxmlformats.org/officeDocument/2006/relationships/hyperlink" Target="http://europa.eu/rapid/press-release_MEMO-14-589_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68CF33AE</Template>
  <TotalTime>3</TotalTime>
  <Pages>2</Pages>
  <Words>839</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2015-01-13T09:01:00Z</dcterms:created>
  <dcterms:modified xsi:type="dcterms:W3CDTF">2015-01-13T09:04:00Z</dcterms:modified>
</cp:coreProperties>
</file>