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B95" w:rsidRDefault="005E3B95" w:rsidP="005E3B95">
      <w:pPr>
        <w:rPr>
          <w:rFonts w:ascii="Calibri" w:hAnsi="Calibri"/>
          <w:color w:val="1F497D"/>
          <w:sz w:val="22"/>
          <w:szCs w:val="22"/>
          <w:lang w:val="en-US" w:eastAsia="en-US"/>
        </w:rPr>
      </w:pPr>
    </w:p>
    <w:tbl>
      <w:tblPr>
        <w:tblW w:w="8154" w:type="dxa"/>
        <w:tblCellSpacing w:w="0" w:type="dxa"/>
        <w:tblBorders>
          <w:top w:val="single" w:sz="48" w:space="0" w:color="000099"/>
          <w:left w:val="single" w:sz="48" w:space="0" w:color="000099"/>
          <w:bottom w:val="single" w:sz="48" w:space="0" w:color="000099"/>
          <w:right w:val="single" w:sz="48" w:space="0" w:color="000099"/>
        </w:tblBorders>
        <w:tblCellMar>
          <w:left w:w="0" w:type="dxa"/>
          <w:right w:w="0" w:type="dxa"/>
        </w:tblCellMar>
        <w:tblLook w:val="04A0" w:firstRow="1" w:lastRow="0" w:firstColumn="1" w:lastColumn="0" w:noHBand="0" w:noVBand="1"/>
      </w:tblPr>
      <w:tblGrid>
        <w:gridCol w:w="9672"/>
      </w:tblGrid>
      <w:tr w:rsidR="005E3B95" w:rsidTr="005E3B95">
        <w:trPr>
          <w:tblCellSpacing w:w="0" w:type="dxa"/>
        </w:trPr>
        <w:tc>
          <w:tcPr>
            <w:tcW w:w="8154" w:type="dxa"/>
            <w:tcBorders>
              <w:top w:val="nil"/>
              <w:left w:val="nil"/>
              <w:bottom w:val="nil"/>
              <w:right w:val="nil"/>
            </w:tcBorders>
            <w:tcMar>
              <w:top w:w="375" w:type="dxa"/>
              <w:left w:w="300" w:type="dxa"/>
              <w:bottom w:w="300" w:type="dxa"/>
              <w:right w:w="300" w:type="dxa"/>
            </w:tcMar>
            <w:vAlign w:val="center"/>
          </w:tcPr>
          <w:tbl>
            <w:tblPr>
              <w:tblW w:w="8214" w:type="dxa"/>
              <w:tblCellSpacing w:w="0" w:type="dxa"/>
              <w:tblCellMar>
                <w:left w:w="0" w:type="dxa"/>
                <w:right w:w="0" w:type="dxa"/>
              </w:tblCellMar>
              <w:tblLook w:val="04A0" w:firstRow="1" w:lastRow="0" w:firstColumn="1" w:lastColumn="0" w:noHBand="0" w:noVBand="1"/>
            </w:tblPr>
            <w:tblGrid>
              <w:gridCol w:w="9066"/>
              <w:gridCol w:w="6"/>
            </w:tblGrid>
            <w:tr w:rsidR="005E3B95">
              <w:trPr>
                <w:tblCellSpacing w:w="0" w:type="dxa"/>
              </w:trPr>
              <w:tc>
                <w:tcPr>
                  <w:tcW w:w="8205" w:type="dxa"/>
                  <w:vAlign w:val="center"/>
                  <w:hideMark/>
                </w:tcPr>
                <w:p w:rsidR="005E3B95" w:rsidRDefault="005E3B95">
                  <w:pPr>
                    <w:spacing w:line="276" w:lineRule="auto"/>
                    <w:jc w:val="both"/>
                    <w:rPr>
                      <w:rFonts w:ascii="Calibri" w:hAnsi="Calibri"/>
                      <w:sz w:val="22"/>
                      <w:szCs w:val="22"/>
                      <w:lang w:eastAsia="en-US"/>
                    </w:rPr>
                  </w:pPr>
                  <w:r>
                    <w:rPr>
                      <w:rFonts w:ascii="Calibri" w:hAnsi="Calibri"/>
                      <w:noProof/>
                      <w:sz w:val="22"/>
                      <w:szCs w:val="22"/>
                    </w:rPr>
                    <w:drawing>
                      <wp:inline distT="0" distB="0" distL="0" distR="0">
                        <wp:extent cx="5762625" cy="666750"/>
                        <wp:effectExtent l="0" t="0" r="9525" b="0"/>
                        <wp:docPr id="2" name="Afbeelding 2" descr="cid:image001.jpg@01CFEC6A.60876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FEC6A.60876C1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62625" cy="666750"/>
                                </a:xfrm>
                                <a:prstGeom prst="rect">
                                  <a:avLst/>
                                </a:prstGeom>
                                <a:noFill/>
                                <a:ln>
                                  <a:noFill/>
                                </a:ln>
                              </pic:spPr>
                            </pic:pic>
                          </a:graphicData>
                        </a:graphic>
                      </wp:inline>
                    </w:drawing>
                  </w:r>
                </w:p>
              </w:tc>
              <w:tc>
                <w:tcPr>
                  <w:tcW w:w="0" w:type="auto"/>
                  <w:vAlign w:val="center"/>
                </w:tcPr>
                <w:p w:rsidR="005E3B95" w:rsidRDefault="005E3B95">
                  <w:pPr>
                    <w:spacing w:line="276" w:lineRule="auto"/>
                    <w:jc w:val="both"/>
                    <w:rPr>
                      <w:rFonts w:ascii="Calibri" w:hAnsi="Calibri"/>
                      <w:color w:val="ACABAB"/>
                      <w:sz w:val="22"/>
                      <w:szCs w:val="22"/>
                      <w:lang w:eastAsia="en-US"/>
                    </w:rPr>
                  </w:pPr>
                </w:p>
                <w:p w:rsidR="005E3B95" w:rsidRDefault="005E3B95">
                  <w:pPr>
                    <w:spacing w:line="276" w:lineRule="auto"/>
                    <w:jc w:val="both"/>
                    <w:rPr>
                      <w:rFonts w:ascii="Calibri" w:hAnsi="Calibri"/>
                      <w:color w:val="ACABAB"/>
                      <w:sz w:val="22"/>
                      <w:szCs w:val="22"/>
                      <w:lang w:eastAsia="en-US"/>
                    </w:rPr>
                  </w:pPr>
                </w:p>
              </w:tc>
            </w:tr>
          </w:tbl>
          <w:p w:rsidR="005E3B95" w:rsidRDefault="005E3B95">
            <w:pPr>
              <w:spacing w:line="276" w:lineRule="auto"/>
              <w:jc w:val="both"/>
              <w:rPr>
                <w:rFonts w:ascii="Calibri" w:hAnsi="Calibri"/>
                <w:b/>
                <w:bCs/>
                <w:sz w:val="20"/>
                <w:szCs w:val="20"/>
                <w:lang w:eastAsia="en-US"/>
              </w:rPr>
            </w:pPr>
            <w:proofErr w:type="spellStart"/>
            <w:r>
              <w:rPr>
                <w:rFonts w:ascii="Calibri" w:hAnsi="Calibri"/>
                <w:b/>
                <w:bCs/>
                <w:sz w:val="20"/>
                <w:szCs w:val="20"/>
                <w:lang w:eastAsia="en-US"/>
              </w:rPr>
              <w:t>Fiscal</w:t>
            </w:r>
            <w:proofErr w:type="spellEnd"/>
            <w:r>
              <w:rPr>
                <w:rFonts w:ascii="Calibri" w:hAnsi="Calibri"/>
                <w:b/>
                <w:bCs/>
                <w:sz w:val="20"/>
                <w:szCs w:val="20"/>
                <w:lang w:eastAsia="en-US"/>
              </w:rPr>
              <w:t xml:space="preserve"> </w:t>
            </w:r>
            <w:proofErr w:type="spellStart"/>
            <w:r>
              <w:rPr>
                <w:rFonts w:ascii="Calibri" w:hAnsi="Calibri"/>
                <w:b/>
                <w:bCs/>
                <w:sz w:val="20"/>
                <w:szCs w:val="20"/>
                <w:lang w:eastAsia="en-US"/>
              </w:rPr>
              <w:t>Committee</w:t>
            </w:r>
            <w:proofErr w:type="spellEnd"/>
          </w:p>
          <w:p w:rsidR="005E3B95" w:rsidRDefault="005E3B95">
            <w:pPr>
              <w:shd w:val="clear" w:color="auto" w:fill="FEFEFE"/>
              <w:spacing w:line="276" w:lineRule="auto"/>
              <w:ind w:right="2925"/>
              <w:jc w:val="both"/>
              <w:rPr>
                <w:rFonts w:ascii="Calibri" w:hAnsi="Calibri"/>
                <w:b/>
                <w:bCs/>
                <w:color w:val="000000"/>
                <w:sz w:val="20"/>
                <w:szCs w:val="20"/>
                <w:lang w:val="en" w:eastAsia="fr-BE"/>
              </w:rPr>
            </w:pPr>
            <w:r>
              <w:rPr>
                <w:rFonts w:ascii="Calibri" w:hAnsi="Calibri"/>
                <w:b/>
                <w:bCs/>
                <w:color w:val="000000"/>
                <w:sz w:val="20"/>
                <w:szCs w:val="20"/>
                <w:lang w:val="en"/>
              </w:rPr>
              <w:t xml:space="preserve">                                                                                                                                                    </w:t>
            </w:r>
          </w:p>
          <w:p w:rsidR="005E3B95" w:rsidRDefault="005E3B95">
            <w:pPr>
              <w:shd w:val="clear" w:color="auto" w:fill="FEFEFE"/>
              <w:spacing w:line="276" w:lineRule="auto"/>
              <w:jc w:val="both"/>
              <w:rPr>
                <w:rFonts w:ascii="Calibri" w:hAnsi="Calibri"/>
                <w:b/>
                <w:bCs/>
                <w:color w:val="000000"/>
                <w:sz w:val="20"/>
                <w:szCs w:val="20"/>
                <w:lang w:val="en"/>
              </w:rPr>
            </w:pPr>
            <w:r>
              <w:rPr>
                <w:rFonts w:ascii="Calibri" w:hAnsi="Calibri"/>
                <w:b/>
                <w:bCs/>
                <w:color w:val="000000"/>
                <w:sz w:val="20"/>
                <w:szCs w:val="20"/>
                <w:lang w:val="en"/>
              </w:rPr>
              <w:t>                                                                                                                                                                         20 October 2014</w:t>
            </w:r>
          </w:p>
          <w:p w:rsidR="005E3B95" w:rsidRDefault="005E3B95">
            <w:pPr>
              <w:pStyle w:val="Lijstalinea"/>
              <w:shd w:val="clear" w:color="auto" w:fill="FEFEFE"/>
              <w:spacing w:line="276" w:lineRule="auto"/>
              <w:ind w:left="927"/>
              <w:jc w:val="both"/>
              <w:rPr>
                <w:color w:val="000000"/>
                <w:sz w:val="20"/>
                <w:szCs w:val="20"/>
                <w:lang w:val="en"/>
              </w:rPr>
            </w:pPr>
          </w:p>
          <w:p w:rsidR="005E3B95" w:rsidRDefault="005E3B95">
            <w:pPr>
              <w:pStyle w:val="Lijstalinea"/>
              <w:shd w:val="clear" w:color="auto" w:fill="FEFEFE"/>
              <w:spacing w:line="276" w:lineRule="auto"/>
              <w:ind w:left="567"/>
              <w:jc w:val="both"/>
              <w:rPr>
                <w:color w:val="000000"/>
                <w:sz w:val="20"/>
                <w:szCs w:val="20"/>
                <w:lang w:val="en"/>
              </w:rPr>
            </w:pPr>
          </w:p>
          <w:p w:rsidR="005E3B95" w:rsidRDefault="005E3B95" w:rsidP="002549E1">
            <w:pPr>
              <w:pStyle w:val="Lijstalinea"/>
              <w:numPr>
                <w:ilvl w:val="0"/>
                <w:numId w:val="1"/>
              </w:numPr>
              <w:shd w:val="clear" w:color="auto" w:fill="FEFEFE"/>
              <w:spacing w:line="276" w:lineRule="auto"/>
              <w:jc w:val="both"/>
              <w:rPr>
                <w:b/>
                <w:bCs/>
                <w:color w:val="000000"/>
                <w:sz w:val="20"/>
                <w:szCs w:val="20"/>
              </w:rPr>
            </w:pPr>
            <w:r>
              <w:rPr>
                <w:b/>
                <w:bCs/>
                <w:color w:val="000000"/>
                <w:sz w:val="20"/>
                <w:szCs w:val="20"/>
              </w:rPr>
              <w:t xml:space="preserve">Council </w:t>
            </w:r>
            <w:proofErr w:type="spellStart"/>
            <w:r>
              <w:rPr>
                <w:b/>
                <w:bCs/>
                <w:color w:val="000000"/>
                <w:sz w:val="20"/>
                <w:szCs w:val="20"/>
              </w:rPr>
              <w:t>agrees</w:t>
            </w:r>
            <w:proofErr w:type="spellEnd"/>
            <w:r>
              <w:rPr>
                <w:b/>
                <w:bCs/>
                <w:color w:val="000000"/>
                <w:sz w:val="20"/>
                <w:szCs w:val="20"/>
              </w:rPr>
              <w:t xml:space="preserve"> on </w:t>
            </w:r>
            <w:proofErr w:type="spellStart"/>
            <w:r>
              <w:rPr>
                <w:b/>
                <w:bCs/>
                <w:color w:val="000000"/>
                <w:sz w:val="20"/>
                <w:szCs w:val="20"/>
              </w:rPr>
              <w:t>including</w:t>
            </w:r>
            <w:proofErr w:type="spellEnd"/>
            <w:r>
              <w:rPr>
                <w:b/>
                <w:bCs/>
                <w:color w:val="000000"/>
                <w:sz w:val="20"/>
                <w:szCs w:val="20"/>
              </w:rPr>
              <w:t xml:space="preserve"> OECD/G20 automatic information exchange standard in EU Directive</w:t>
            </w:r>
          </w:p>
          <w:p w:rsidR="005E3B95" w:rsidRDefault="005E3B95">
            <w:pPr>
              <w:shd w:val="clear" w:color="auto" w:fill="FEFEFE"/>
              <w:spacing w:line="276" w:lineRule="auto"/>
              <w:ind w:left="567"/>
              <w:jc w:val="both"/>
              <w:rPr>
                <w:rFonts w:ascii="Calibri" w:hAnsi="Calibri"/>
                <w:color w:val="000000"/>
                <w:sz w:val="20"/>
                <w:szCs w:val="20"/>
              </w:rPr>
            </w:pPr>
          </w:p>
          <w:p w:rsidR="005E3B95" w:rsidRDefault="005E3B95">
            <w:pPr>
              <w:shd w:val="clear" w:color="auto" w:fill="FEFEFE"/>
              <w:spacing w:line="276" w:lineRule="auto"/>
              <w:ind w:left="567" w:right="141"/>
              <w:rPr>
                <w:rFonts w:ascii="Calibri" w:hAnsi="Calibri"/>
                <w:color w:val="000000"/>
                <w:sz w:val="20"/>
                <w:szCs w:val="20"/>
              </w:rPr>
            </w:pPr>
            <w:r>
              <w:rPr>
                <w:rFonts w:ascii="Calibri" w:hAnsi="Calibri"/>
                <w:color w:val="000000"/>
                <w:sz w:val="20"/>
                <w:szCs w:val="20"/>
              </w:rPr>
              <w:t xml:space="preserve">On 14 </w:t>
            </w:r>
            <w:proofErr w:type="spellStart"/>
            <w:r>
              <w:rPr>
                <w:rFonts w:ascii="Calibri" w:hAnsi="Calibri"/>
                <w:color w:val="000000"/>
                <w:sz w:val="20"/>
                <w:szCs w:val="20"/>
              </w:rPr>
              <w:t>October</w:t>
            </w:r>
            <w:proofErr w:type="spellEnd"/>
            <w:r>
              <w:rPr>
                <w:rFonts w:ascii="Calibri" w:hAnsi="Calibri"/>
                <w:color w:val="000000"/>
                <w:sz w:val="20"/>
                <w:szCs w:val="20"/>
              </w:rPr>
              <w:t xml:space="preserve"> 2014, the EU </w:t>
            </w:r>
            <w:proofErr w:type="spellStart"/>
            <w:r>
              <w:rPr>
                <w:rFonts w:ascii="Calibri" w:hAnsi="Calibri"/>
                <w:color w:val="000000"/>
                <w:sz w:val="20"/>
                <w:szCs w:val="20"/>
              </w:rPr>
              <w:t>Ecofin</w:t>
            </w:r>
            <w:proofErr w:type="spellEnd"/>
            <w:r>
              <w:rPr>
                <w:rFonts w:ascii="Calibri" w:hAnsi="Calibri"/>
                <w:color w:val="000000"/>
                <w:sz w:val="20"/>
                <w:szCs w:val="20"/>
              </w:rPr>
              <w:t xml:space="preserve"> Council </w:t>
            </w:r>
            <w:proofErr w:type="spellStart"/>
            <w:r>
              <w:rPr>
                <w:rFonts w:ascii="Calibri" w:hAnsi="Calibri"/>
                <w:color w:val="000000"/>
                <w:sz w:val="20"/>
                <w:szCs w:val="20"/>
              </w:rPr>
              <w:t>reached</w:t>
            </w:r>
            <w:proofErr w:type="spellEnd"/>
            <w:r>
              <w:rPr>
                <w:rFonts w:ascii="Calibri" w:hAnsi="Calibri"/>
                <w:color w:val="000000"/>
                <w:sz w:val="20"/>
                <w:szCs w:val="20"/>
              </w:rPr>
              <w:t xml:space="preserve"> </w:t>
            </w:r>
            <w:proofErr w:type="spellStart"/>
            <w:r>
              <w:rPr>
                <w:rFonts w:ascii="Calibri" w:hAnsi="Calibri"/>
                <w:color w:val="000000"/>
                <w:sz w:val="20"/>
                <w:szCs w:val="20"/>
              </w:rPr>
              <w:t>political</w:t>
            </w:r>
            <w:proofErr w:type="spellEnd"/>
            <w:r>
              <w:rPr>
                <w:rFonts w:ascii="Calibri" w:hAnsi="Calibri"/>
                <w:color w:val="000000"/>
                <w:sz w:val="20"/>
                <w:szCs w:val="20"/>
              </w:rPr>
              <w:t xml:space="preserve"> agreement on </w:t>
            </w:r>
            <w:proofErr w:type="spellStart"/>
            <w:r>
              <w:rPr>
                <w:rFonts w:ascii="Calibri" w:hAnsi="Calibri"/>
                <w:color w:val="000000"/>
                <w:sz w:val="20"/>
                <w:szCs w:val="20"/>
              </w:rPr>
              <w:t>amending</w:t>
            </w:r>
            <w:proofErr w:type="spellEnd"/>
            <w:r>
              <w:rPr>
                <w:rFonts w:ascii="Calibri" w:hAnsi="Calibri"/>
                <w:color w:val="000000"/>
                <w:sz w:val="20"/>
                <w:szCs w:val="20"/>
              </w:rPr>
              <w:t xml:space="preserve"> the Directive 2011/16/EU on </w:t>
            </w:r>
            <w:proofErr w:type="spellStart"/>
            <w:r>
              <w:rPr>
                <w:rFonts w:ascii="Calibri" w:hAnsi="Calibri"/>
                <w:color w:val="000000"/>
                <w:sz w:val="20"/>
                <w:szCs w:val="20"/>
              </w:rPr>
              <w:t>Administrative</w:t>
            </w:r>
            <w:proofErr w:type="spellEnd"/>
            <w:r>
              <w:rPr>
                <w:rFonts w:ascii="Calibri" w:hAnsi="Calibri"/>
                <w:color w:val="000000"/>
                <w:sz w:val="20"/>
                <w:szCs w:val="20"/>
              </w:rPr>
              <w:t xml:space="preserve"> Cooperation in Direct </w:t>
            </w:r>
            <w:proofErr w:type="spellStart"/>
            <w:r>
              <w:rPr>
                <w:rFonts w:ascii="Calibri" w:hAnsi="Calibri"/>
                <w:color w:val="000000"/>
                <w:sz w:val="20"/>
                <w:szCs w:val="20"/>
              </w:rPr>
              <w:t>Taxes</w:t>
            </w:r>
            <w:proofErr w:type="spellEnd"/>
            <w:r>
              <w:rPr>
                <w:rFonts w:ascii="Calibri" w:hAnsi="Calibri"/>
                <w:color w:val="000000"/>
                <w:sz w:val="20"/>
                <w:szCs w:val="20"/>
              </w:rPr>
              <w:t xml:space="preserve"> </w:t>
            </w:r>
            <w:proofErr w:type="spellStart"/>
            <w:r>
              <w:rPr>
                <w:rFonts w:ascii="Calibri" w:hAnsi="Calibri"/>
                <w:color w:val="000000"/>
                <w:sz w:val="20"/>
                <w:szCs w:val="20"/>
              </w:rPr>
              <w:t>to</w:t>
            </w:r>
            <w:proofErr w:type="spellEnd"/>
            <w:r>
              <w:rPr>
                <w:rFonts w:ascii="Calibri" w:hAnsi="Calibri"/>
                <w:color w:val="000000"/>
                <w:sz w:val="20"/>
                <w:szCs w:val="20"/>
              </w:rPr>
              <w:t xml:space="preserve"> </w:t>
            </w:r>
            <w:proofErr w:type="spellStart"/>
            <w:r>
              <w:rPr>
                <w:rFonts w:ascii="Calibri" w:hAnsi="Calibri"/>
                <w:color w:val="000000"/>
                <w:sz w:val="20"/>
                <w:szCs w:val="20"/>
              </w:rPr>
              <w:t>include</w:t>
            </w:r>
            <w:proofErr w:type="spellEnd"/>
            <w:r>
              <w:rPr>
                <w:rFonts w:ascii="Calibri" w:hAnsi="Calibri"/>
                <w:color w:val="000000"/>
                <w:sz w:val="20"/>
                <w:szCs w:val="20"/>
              </w:rPr>
              <w:t xml:space="preserve"> automatic information exchange on interest, </w:t>
            </w:r>
            <w:proofErr w:type="spellStart"/>
            <w:r>
              <w:rPr>
                <w:rFonts w:ascii="Calibri" w:hAnsi="Calibri"/>
                <w:color w:val="000000"/>
                <w:sz w:val="20"/>
                <w:szCs w:val="20"/>
              </w:rPr>
              <w:t>dividends</w:t>
            </w:r>
            <w:proofErr w:type="spellEnd"/>
            <w:r>
              <w:rPr>
                <w:rFonts w:ascii="Calibri" w:hAnsi="Calibri"/>
                <w:color w:val="000000"/>
                <w:sz w:val="20"/>
                <w:szCs w:val="20"/>
              </w:rPr>
              <w:t xml:space="preserve"> </w:t>
            </w:r>
            <w:proofErr w:type="spellStart"/>
            <w:r>
              <w:rPr>
                <w:rFonts w:ascii="Calibri" w:hAnsi="Calibri"/>
                <w:color w:val="000000"/>
                <w:sz w:val="20"/>
                <w:szCs w:val="20"/>
              </w:rPr>
              <w:t>and</w:t>
            </w:r>
            <w:proofErr w:type="spellEnd"/>
            <w:r>
              <w:rPr>
                <w:rFonts w:ascii="Calibri" w:hAnsi="Calibri"/>
                <w:color w:val="000000"/>
                <w:sz w:val="20"/>
                <w:szCs w:val="20"/>
              </w:rPr>
              <w:t xml:space="preserve"> </w:t>
            </w:r>
            <w:proofErr w:type="spellStart"/>
            <w:r>
              <w:rPr>
                <w:rFonts w:ascii="Calibri" w:hAnsi="Calibri"/>
                <w:color w:val="000000"/>
                <w:sz w:val="20"/>
                <w:szCs w:val="20"/>
              </w:rPr>
              <w:t>other</w:t>
            </w:r>
            <w:proofErr w:type="spellEnd"/>
            <w:r>
              <w:rPr>
                <w:rFonts w:ascii="Calibri" w:hAnsi="Calibri"/>
                <w:color w:val="000000"/>
                <w:sz w:val="20"/>
                <w:szCs w:val="20"/>
              </w:rPr>
              <w:t xml:space="preserve"> </w:t>
            </w:r>
            <w:proofErr w:type="spellStart"/>
            <w:r>
              <w:rPr>
                <w:rFonts w:ascii="Calibri" w:hAnsi="Calibri"/>
                <w:color w:val="000000"/>
                <w:sz w:val="20"/>
                <w:szCs w:val="20"/>
              </w:rPr>
              <w:t>income</w:t>
            </w:r>
            <w:proofErr w:type="spellEnd"/>
            <w:r>
              <w:rPr>
                <w:rFonts w:ascii="Calibri" w:hAnsi="Calibri"/>
                <w:color w:val="000000"/>
                <w:sz w:val="20"/>
                <w:szCs w:val="20"/>
              </w:rPr>
              <w:t xml:space="preserve">, as well as account </w:t>
            </w:r>
            <w:proofErr w:type="spellStart"/>
            <w:r>
              <w:rPr>
                <w:rFonts w:ascii="Calibri" w:hAnsi="Calibri"/>
                <w:color w:val="000000"/>
                <w:sz w:val="20"/>
                <w:szCs w:val="20"/>
              </w:rPr>
              <w:t>balances</w:t>
            </w:r>
            <w:proofErr w:type="spellEnd"/>
            <w:r>
              <w:rPr>
                <w:rFonts w:ascii="Calibri" w:hAnsi="Calibri"/>
                <w:color w:val="000000"/>
                <w:sz w:val="20"/>
                <w:szCs w:val="20"/>
              </w:rPr>
              <w:t xml:space="preserve"> </w:t>
            </w:r>
            <w:proofErr w:type="spellStart"/>
            <w:r>
              <w:rPr>
                <w:rFonts w:ascii="Calibri" w:hAnsi="Calibri"/>
                <w:color w:val="000000"/>
                <w:sz w:val="20"/>
                <w:szCs w:val="20"/>
              </w:rPr>
              <w:t>and</w:t>
            </w:r>
            <w:proofErr w:type="spellEnd"/>
            <w:r>
              <w:rPr>
                <w:rFonts w:ascii="Calibri" w:hAnsi="Calibri"/>
                <w:color w:val="000000"/>
                <w:sz w:val="20"/>
                <w:szCs w:val="20"/>
              </w:rPr>
              <w:t xml:space="preserve"> sales </w:t>
            </w:r>
            <w:proofErr w:type="spellStart"/>
            <w:r>
              <w:rPr>
                <w:rFonts w:ascii="Calibri" w:hAnsi="Calibri"/>
                <w:color w:val="000000"/>
                <w:sz w:val="20"/>
                <w:szCs w:val="20"/>
              </w:rPr>
              <w:t>proceeds</w:t>
            </w:r>
            <w:proofErr w:type="spellEnd"/>
            <w:r>
              <w:rPr>
                <w:rFonts w:ascii="Calibri" w:hAnsi="Calibri"/>
                <w:color w:val="000000"/>
                <w:sz w:val="20"/>
                <w:szCs w:val="20"/>
              </w:rPr>
              <w:t xml:space="preserve"> </w:t>
            </w:r>
            <w:proofErr w:type="spellStart"/>
            <w:r>
              <w:rPr>
                <w:rFonts w:ascii="Calibri" w:hAnsi="Calibri"/>
                <w:color w:val="000000"/>
                <w:sz w:val="20"/>
                <w:szCs w:val="20"/>
              </w:rPr>
              <w:t>from</w:t>
            </w:r>
            <w:proofErr w:type="spellEnd"/>
            <w:r>
              <w:rPr>
                <w:rFonts w:ascii="Calibri" w:hAnsi="Calibri"/>
                <w:color w:val="000000"/>
                <w:sz w:val="20"/>
                <w:szCs w:val="20"/>
              </w:rPr>
              <w:t xml:space="preserve"> financial </w:t>
            </w:r>
            <w:proofErr w:type="spellStart"/>
            <w:r>
              <w:rPr>
                <w:rFonts w:ascii="Calibri" w:hAnsi="Calibri"/>
                <w:color w:val="000000"/>
                <w:sz w:val="20"/>
                <w:szCs w:val="20"/>
              </w:rPr>
              <w:t>assets</w:t>
            </w:r>
            <w:proofErr w:type="spellEnd"/>
            <w:r>
              <w:rPr>
                <w:rFonts w:ascii="Calibri" w:hAnsi="Calibri"/>
                <w:color w:val="000000"/>
                <w:sz w:val="20"/>
                <w:szCs w:val="20"/>
              </w:rPr>
              <w:t xml:space="preserve">. </w:t>
            </w:r>
            <w:proofErr w:type="spellStart"/>
            <w:r>
              <w:rPr>
                <w:rFonts w:ascii="Calibri" w:hAnsi="Calibri"/>
                <w:color w:val="000000"/>
                <w:sz w:val="20"/>
                <w:szCs w:val="20"/>
              </w:rPr>
              <w:t>This</w:t>
            </w:r>
            <w:proofErr w:type="spellEnd"/>
            <w:r>
              <w:rPr>
                <w:rFonts w:ascii="Calibri" w:hAnsi="Calibri"/>
                <w:color w:val="000000"/>
                <w:sz w:val="20"/>
                <w:szCs w:val="20"/>
              </w:rPr>
              <w:t xml:space="preserve"> </w:t>
            </w:r>
            <w:proofErr w:type="spellStart"/>
            <w:r>
              <w:rPr>
                <w:rFonts w:ascii="Calibri" w:hAnsi="Calibri"/>
                <w:color w:val="000000"/>
                <w:sz w:val="20"/>
                <w:szCs w:val="20"/>
              </w:rPr>
              <w:t>brings</w:t>
            </w:r>
            <w:proofErr w:type="spellEnd"/>
            <w:r>
              <w:rPr>
                <w:rFonts w:ascii="Calibri" w:hAnsi="Calibri"/>
                <w:color w:val="000000"/>
                <w:sz w:val="20"/>
                <w:szCs w:val="20"/>
              </w:rPr>
              <w:t xml:space="preserve"> the EU Directive in line </w:t>
            </w:r>
            <w:proofErr w:type="spellStart"/>
            <w:r>
              <w:rPr>
                <w:rFonts w:ascii="Calibri" w:hAnsi="Calibri"/>
                <w:color w:val="000000"/>
                <w:sz w:val="20"/>
                <w:szCs w:val="20"/>
              </w:rPr>
              <w:t>with</w:t>
            </w:r>
            <w:proofErr w:type="spellEnd"/>
            <w:r>
              <w:rPr>
                <w:rFonts w:ascii="Calibri" w:hAnsi="Calibri"/>
                <w:color w:val="000000"/>
                <w:sz w:val="20"/>
                <w:szCs w:val="20"/>
              </w:rPr>
              <w:t xml:space="preserve"> the new </w:t>
            </w:r>
            <w:proofErr w:type="spellStart"/>
            <w:r>
              <w:rPr>
                <w:rFonts w:ascii="Calibri" w:hAnsi="Calibri"/>
                <w:color w:val="000000"/>
                <w:sz w:val="20"/>
                <w:szCs w:val="20"/>
              </w:rPr>
              <w:t>global</w:t>
            </w:r>
            <w:proofErr w:type="spellEnd"/>
            <w:r>
              <w:rPr>
                <w:rFonts w:ascii="Calibri" w:hAnsi="Calibri"/>
                <w:color w:val="000000"/>
                <w:sz w:val="20"/>
                <w:szCs w:val="20"/>
              </w:rPr>
              <w:t xml:space="preserve"> standard on automatic exchange of information </w:t>
            </w:r>
            <w:proofErr w:type="spellStart"/>
            <w:r>
              <w:rPr>
                <w:rFonts w:ascii="Calibri" w:hAnsi="Calibri"/>
                <w:color w:val="000000"/>
                <w:sz w:val="20"/>
                <w:szCs w:val="20"/>
              </w:rPr>
              <w:t>developed</w:t>
            </w:r>
            <w:proofErr w:type="spellEnd"/>
            <w:r>
              <w:rPr>
                <w:rFonts w:ascii="Calibri" w:hAnsi="Calibri"/>
                <w:color w:val="000000"/>
                <w:sz w:val="20"/>
                <w:szCs w:val="20"/>
              </w:rPr>
              <w:t xml:space="preserve"> </w:t>
            </w:r>
            <w:proofErr w:type="spellStart"/>
            <w:r>
              <w:rPr>
                <w:rFonts w:ascii="Calibri" w:hAnsi="Calibri"/>
                <w:color w:val="000000"/>
                <w:sz w:val="20"/>
                <w:szCs w:val="20"/>
              </w:rPr>
              <w:t>by</w:t>
            </w:r>
            <w:proofErr w:type="spellEnd"/>
            <w:r>
              <w:rPr>
                <w:rFonts w:ascii="Calibri" w:hAnsi="Calibri"/>
                <w:color w:val="000000"/>
                <w:sz w:val="20"/>
                <w:szCs w:val="20"/>
              </w:rPr>
              <w:t xml:space="preserve"> the OECD on </w:t>
            </w:r>
            <w:proofErr w:type="spellStart"/>
            <w:r>
              <w:rPr>
                <w:rFonts w:ascii="Calibri" w:hAnsi="Calibri"/>
                <w:color w:val="000000"/>
                <w:sz w:val="20"/>
                <w:szCs w:val="20"/>
              </w:rPr>
              <w:t>request</w:t>
            </w:r>
            <w:proofErr w:type="spellEnd"/>
            <w:r>
              <w:rPr>
                <w:rFonts w:ascii="Calibri" w:hAnsi="Calibri"/>
                <w:color w:val="000000"/>
                <w:sz w:val="20"/>
                <w:szCs w:val="20"/>
              </w:rPr>
              <w:t xml:space="preserve"> of the G20. The </w:t>
            </w:r>
            <w:proofErr w:type="spellStart"/>
            <w:r>
              <w:rPr>
                <w:rFonts w:ascii="Calibri" w:hAnsi="Calibri"/>
                <w:color w:val="000000"/>
                <w:sz w:val="20"/>
                <w:szCs w:val="20"/>
              </w:rPr>
              <w:t>proposal</w:t>
            </w:r>
            <w:proofErr w:type="spellEnd"/>
            <w:r>
              <w:rPr>
                <w:rFonts w:ascii="Calibri" w:hAnsi="Calibri"/>
                <w:color w:val="000000"/>
                <w:sz w:val="20"/>
                <w:szCs w:val="20"/>
              </w:rPr>
              <w:t xml:space="preserve"> was made </w:t>
            </w:r>
            <w:proofErr w:type="spellStart"/>
            <w:r>
              <w:rPr>
                <w:rFonts w:ascii="Calibri" w:hAnsi="Calibri"/>
                <w:color w:val="000000"/>
                <w:sz w:val="20"/>
                <w:szCs w:val="20"/>
              </w:rPr>
              <w:t>by</w:t>
            </w:r>
            <w:proofErr w:type="spellEnd"/>
            <w:r>
              <w:rPr>
                <w:rFonts w:ascii="Calibri" w:hAnsi="Calibri"/>
                <w:color w:val="000000"/>
                <w:sz w:val="20"/>
                <w:szCs w:val="20"/>
              </w:rPr>
              <w:t xml:space="preserve"> the European </w:t>
            </w:r>
            <w:proofErr w:type="spellStart"/>
            <w:r>
              <w:rPr>
                <w:rFonts w:ascii="Calibri" w:hAnsi="Calibri"/>
                <w:color w:val="000000"/>
                <w:sz w:val="20"/>
                <w:szCs w:val="20"/>
              </w:rPr>
              <w:t>Commission</w:t>
            </w:r>
            <w:proofErr w:type="spellEnd"/>
            <w:r>
              <w:rPr>
                <w:rFonts w:ascii="Calibri" w:hAnsi="Calibri"/>
                <w:color w:val="000000"/>
                <w:sz w:val="20"/>
                <w:szCs w:val="20"/>
              </w:rPr>
              <w:t xml:space="preserve"> in </w:t>
            </w:r>
            <w:proofErr w:type="spellStart"/>
            <w:r>
              <w:rPr>
                <w:rFonts w:ascii="Calibri" w:hAnsi="Calibri"/>
                <w:color w:val="000000"/>
                <w:sz w:val="20"/>
                <w:szCs w:val="20"/>
              </w:rPr>
              <w:t>June</w:t>
            </w:r>
            <w:proofErr w:type="spellEnd"/>
            <w:r>
              <w:rPr>
                <w:rFonts w:ascii="Calibri" w:hAnsi="Calibri"/>
                <w:color w:val="000000"/>
                <w:sz w:val="20"/>
                <w:szCs w:val="20"/>
              </w:rPr>
              <w:t xml:space="preserve"> 2013 </w:t>
            </w:r>
            <w:proofErr w:type="spellStart"/>
            <w:r>
              <w:rPr>
                <w:rFonts w:ascii="Calibri" w:hAnsi="Calibri"/>
                <w:color w:val="000000"/>
                <w:sz w:val="20"/>
                <w:szCs w:val="20"/>
              </w:rPr>
              <w:t>and</w:t>
            </w:r>
            <w:proofErr w:type="spellEnd"/>
            <w:r>
              <w:rPr>
                <w:rFonts w:ascii="Calibri" w:hAnsi="Calibri"/>
                <w:color w:val="000000"/>
                <w:sz w:val="20"/>
                <w:szCs w:val="20"/>
              </w:rPr>
              <w:t xml:space="preserve"> </w:t>
            </w:r>
            <w:proofErr w:type="spellStart"/>
            <w:r>
              <w:rPr>
                <w:rFonts w:ascii="Calibri" w:hAnsi="Calibri"/>
                <w:color w:val="000000"/>
                <w:sz w:val="20"/>
                <w:szCs w:val="20"/>
              </w:rPr>
              <w:t>developed</w:t>
            </w:r>
            <w:proofErr w:type="spellEnd"/>
            <w:r>
              <w:rPr>
                <w:rFonts w:ascii="Calibri" w:hAnsi="Calibri"/>
                <w:color w:val="000000"/>
                <w:sz w:val="20"/>
                <w:szCs w:val="20"/>
              </w:rPr>
              <w:t xml:space="preserve"> </w:t>
            </w:r>
            <w:proofErr w:type="spellStart"/>
            <w:r>
              <w:rPr>
                <w:rFonts w:ascii="Calibri" w:hAnsi="Calibri"/>
                <w:color w:val="000000"/>
                <w:sz w:val="20"/>
                <w:szCs w:val="20"/>
              </w:rPr>
              <w:t>subsequently</w:t>
            </w:r>
            <w:proofErr w:type="spellEnd"/>
            <w:r>
              <w:rPr>
                <w:rFonts w:ascii="Calibri" w:hAnsi="Calibri"/>
                <w:color w:val="000000"/>
                <w:sz w:val="20"/>
                <w:szCs w:val="20"/>
              </w:rPr>
              <w:t xml:space="preserve"> </w:t>
            </w:r>
            <w:proofErr w:type="spellStart"/>
            <w:r>
              <w:rPr>
                <w:rFonts w:ascii="Calibri" w:hAnsi="Calibri"/>
                <w:color w:val="000000"/>
                <w:sz w:val="20"/>
                <w:szCs w:val="20"/>
              </w:rPr>
              <w:t>to</w:t>
            </w:r>
            <w:proofErr w:type="spellEnd"/>
            <w:r>
              <w:rPr>
                <w:rFonts w:ascii="Calibri" w:hAnsi="Calibri"/>
                <w:color w:val="000000"/>
                <w:sz w:val="20"/>
                <w:szCs w:val="20"/>
              </w:rPr>
              <w:t xml:space="preserve"> take account of the </w:t>
            </w:r>
            <w:proofErr w:type="spellStart"/>
            <w:r>
              <w:rPr>
                <w:rFonts w:ascii="Calibri" w:hAnsi="Calibri"/>
                <w:color w:val="000000"/>
                <w:sz w:val="20"/>
                <w:szCs w:val="20"/>
              </w:rPr>
              <w:t>global</w:t>
            </w:r>
            <w:proofErr w:type="spellEnd"/>
            <w:r>
              <w:rPr>
                <w:rFonts w:ascii="Calibri" w:hAnsi="Calibri"/>
                <w:color w:val="000000"/>
                <w:sz w:val="20"/>
                <w:szCs w:val="20"/>
              </w:rPr>
              <w:t xml:space="preserve"> standard </w:t>
            </w:r>
            <w:proofErr w:type="spellStart"/>
            <w:r>
              <w:rPr>
                <w:rFonts w:ascii="Calibri" w:hAnsi="Calibri"/>
                <w:color w:val="000000"/>
                <w:sz w:val="20"/>
                <w:szCs w:val="20"/>
              </w:rPr>
              <w:t>presented</w:t>
            </w:r>
            <w:proofErr w:type="spellEnd"/>
            <w:r>
              <w:rPr>
                <w:rFonts w:ascii="Calibri" w:hAnsi="Calibri"/>
                <w:color w:val="000000"/>
                <w:sz w:val="20"/>
                <w:szCs w:val="20"/>
              </w:rPr>
              <w:t xml:space="preserve"> in detail in </w:t>
            </w:r>
            <w:proofErr w:type="spellStart"/>
            <w:r>
              <w:rPr>
                <w:rFonts w:ascii="Calibri" w:hAnsi="Calibri"/>
                <w:color w:val="000000"/>
                <w:sz w:val="20"/>
                <w:szCs w:val="20"/>
              </w:rPr>
              <w:t>July</w:t>
            </w:r>
            <w:proofErr w:type="spellEnd"/>
            <w:r>
              <w:rPr>
                <w:rFonts w:ascii="Calibri" w:hAnsi="Calibri"/>
                <w:color w:val="000000"/>
                <w:sz w:val="20"/>
                <w:szCs w:val="20"/>
              </w:rPr>
              <w:t xml:space="preserve"> 2014 </w:t>
            </w:r>
            <w:proofErr w:type="spellStart"/>
            <w:r>
              <w:rPr>
                <w:rFonts w:ascii="Calibri" w:hAnsi="Calibri"/>
                <w:color w:val="000000"/>
                <w:sz w:val="20"/>
                <w:szCs w:val="20"/>
              </w:rPr>
              <w:t>and</w:t>
            </w:r>
            <w:proofErr w:type="spellEnd"/>
            <w:r>
              <w:rPr>
                <w:rFonts w:ascii="Calibri" w:hAnsi="Calibri"/>
                <w:color w:val="000000"/>
                <w:sz w:val="20"/>
                <w:szCs w:val="20"/>
              </w:rPr>
              <w:t xml:space="preserve"> </w:t>
            </w:r>
            <w:proofErr w:type="spellStart"/>
            <w:r>
              <w:rPr>
                <w:rFonts w:ascii="Calibri" w:hAnsi="Calibri"/>
                <w:color w:val="000000"/>
                <w:sz w:val="20"/>
                <w:szCs w:val="20"/>
              </w:rPr>
              <w:t>endorsed</w:t>
            </w:r>
            <w:proofErr w:type="spellEnd"/>
            <w:r>
              <w:rPr>
                <w:rFonts w:ascii="Calibri" w:hAnsi="Calibri"/>
                <w:color w:val="000000"/>
                <w:sz w:val="20"/>
                <w:szCs w:val="20"/>
              </w:rPr>
              <w:t xml:space="preserve"> </w:t>
            </w:r>
            <w:proofErr w:type="spellStart"/>
            <w:r>
              <w:rPr>
                <w:rFonts w:ascii="Calibri" w:hAnsi="Calibri"/>
                <w:color w:val="000000"/>
                <w:sz w:val="20"/>
                <w:szCs w:val="20"/>
              </w:rPr>
              <w:t>by</w:t>
            </w:r>
            <w:proofErr w:type="spellEnd"/>
            <w:r>
              <w:rPr>
                <w:rFonts w:ascii="Calibri" w:hAnsi="Calibri"/>
                <w:color w:val="000000"/>
                <w:sz w:val="20"/>
                <w:szCs w:val="20"/>
              </w:rPr>
              <w:t xml:space="preserve"> the G20 </w:t>
            </w:r>
            <w:proofErr w:type="spellStart"/>
            <w:r>
              <w:rPr>
                <w:rFonts w:ascii="Calibri" w:hAnsi="Calibri"/>
                <w:color w:val="000000"/>
                <w:sz w:val="20"/>
                <w:szCs w:val="20"/>
              </w:rPr>
              <w:t>finance</w:t>
            </w:r>
            <w:proofErr w:type="spellEnd"/>
            <w:r>
              <w:rPr>
                <w:rFonts w:ascii="Calibri" w:hAnsi="Calibri"/>
                <w:color w:val="000000"/>
                <w:sz w:val="20"/>
                <w:szCs w:val="20"/>
              </w:rPr>
              <w:t xml:space="preserve"> ministers in September.</w:t>
            </w:r>
          </w:p>
          <w:p w:rsidR="005E3B95" w:rsidRDefault="005E3B95">
            <w:pPr>
              <w:shd w:val="clear" w:color="auto" w:fill="FEFEFE"/>
              <w:spacing w:line="276" w:lineRule="auto"/>
              <w:ind w:left="567" w:right="141"/>
              <w:rPr>
                <w:rFonts w:ascii="Calibri" w:hAnsi="Calibri"/>
                <w:color w:val="000000"/>
                <w:sz w:val="20"/>
                <w:szCs w:val="20"/>
              </w:rPr>
            </w:pPr>
            <w:r>
              <w:rPr>
                <w:rFonts w:ascii="Calibri" w:hAnsi="Calibri"/>
                <w:color w:val="000000"/>
                <w:sz w:val="20"/>
                <w:szCs w:val="20"/>
              </w:rPr>
              <w:t xml:space="preserve">The </w:t>
            </w:r>
            <w:proofErr w:type="spellStart"/>
            <w:r>
              <w:rPr>
                <w:rFonts w:ascii="Calibri" w:hAnsi="Calibri"/>
                <w:color w:val="000000"/>
                <w:sz w:val="20"/>
                <w:szCs w:val="20"/>
              </w:rPr>
              <w:t>formal</w:t>
            </w:r>
            <w:proofErr w:type="spellEnd"/>
            <w:r>
              <w:rPr>
                <w:rFonts w:ascii="Calibri" w:hAnsi="Calibri"/>
                <w:color w:val="000000"/>
                <w:sz w:val="20"/>
                <w:szCs w:val="20"/>
              </w:rPr>
              <w:t xml:space="preserve"> adoption of the Directive </w:t>
            </w:r>
            <w:proofErr w:type="spellStart"/>
            <w:r>
              <w:rPr>
                <w:rFonts w:ascii="Calibri" w:hAnsi="Calibri"/>
                <w:color w:val="000000"/>
                <w:sz w:val="20"/>
                <w:szCs w:val="20"/>
              </w:rPr>
              <w:t>will</w:t>
            </w:r>
            <w:proofErr w:type="spellEnd"/>
            <w:r>
              <w:rPr>
                <w:rFonts w:ascii="Calibri" w:hAnsi="Calibri"/>
                <w:color w:val="000000"/>
                <w:sz w:val="20"/>
                <w:szCs w:val="20"/>
              </w:rPr>
              <w:t xml:space="preserve"> take </w:t>
            </w:r>
            <w:proofErr w:type="spellStart"/>
            <w:r>
              <w:rPr>
                <w:rFonts w:ascii="Calibri" w:hAnsi="Calibri"/>
                <w:color w:val="000000"/>
                <w:sz w:val="20"/>
                <w:szCs w:val="20"/>
              </w:rPr>
              <w:t>place</w:t>
            </w:r>
            <w:proofErr w:type="spellEnd"/>
            <w:r>
              <w:rPr>
                <w:rFonts w:ascii="Calibri" w:hAnsi="Calibri"/>
                <w:color w:val="000000"/>
                <w:sz w:val="20"/>
                <w:szCs w:val="20"/>
              </w:rPr>
              <w:t xml:space="preserve"> at </w:t>
            </w:r>
            <w:proofErr w:type="spellStart"/>
            <w:r>
              <w:rPr>
                <w:rFonts w:ascii="Calibri" w:hAnsi="Calibri"/>
                <w:color w:val="000000"/>
                <w:sz w:val="20"/>
                <w:szCs w:val="20"/>
              </w:rPr>
              <w:t>one</w:t>
            </w:r>
            <w:proofErr w:type="spellEnd"/>
            <w:r>
              <w:rPr>
                <w:rFonts w:ascii="Calibri" w:hAnsi="Calibri"/>
                <w:color w:val="000000"/>
                <w:sz w:val="20"/>
                <w:szCs w:val="20"/>
              </w:rPr>
              <w:t xml:space="preserve"> of the </w:t>
            </w:r>
            <w:proofErr w:type="spellStart"/>
            <w:r>
              <w:rPr>
                <w:rFonts w:ascii="Calibri" w:hAnsi="Calibri"/>
                <w:color w:val="000000"/>
                <w:sz w:val="20"/>
                <w:szCs w:val="20"/>
              </w:rPr>
              <w:t>forthcoming</w:t>
            </w:r>
            <w:proofErr w:type="spellEnd"/>
            <w:r>
              <w:rPr>
                <w:rFonts w:ascii="Calibri" w:hAnsi="Calibri"/>
                <w:color w:val="000000"/>
                <w:sz w:val="20"/>
                <w:szCs w:val="20"/>
              </w:rPr>
              <w:t xml:space="preserve"> Council meetings, </w:t>
            </w:r>
            <w:proofErr w:type="spellStart"/>
            <w:r>
              <w:rPr>
                <w:rFonts w:ascii="Calibri" w:hAnsi="Calibri"/>
                <w:color w:val="000000"/>
                <w:sz w:val="20"/>
                <w:szCs w:val="20"/>
              </w:rPr>
              <w:t>once</w:t>
            </w:r>
            <w:proofErr w:type="spellEnd"/>
            <w:r>
              <w:rPr>
                <w:rFonts w:ascii="Calibri" w:hAnsi="Calibri"/>
                <w:color w:val="000000"/>
                <w:sz w:val="20"/>
                <w:szCs w:val="20"/>
              </w:rPr>
              <w:t xml:space="preserve"> </w:t>
            </w:r>
            <w:proofErr w:type="spellStart"/>
            <w:r>
              <w:rPr>
                <w:rFonts w:ascii="Calibri" w:hAnsi="Calibri"/>
                <w:color w:val="000000"/>
                <w:sz w:val="20"/>
                <w:szCs w:val="20"/>
              </w:rPr>
              <w:t>translation</w:t>
            </w:r>
            <w:proofErr w:type="spellEnd"/>
            <w:r>
              <w:rPr>
                <w:rFonts w:ascii="Calibri" w:hAnsi="Calibri"/>
                <w:color w:val="000000"/>
                <w:sz w:val="20"/>
                <w:szCs w:val="20"/>
              </w:rPr>
              <w:t xml:space="preserve"> </w:t>
            </w:r>
            <w:proofErr w:type="spellStart"/>
            <w:r>
              <w:rPr>
                <w:rFonts w:ascii="Calibri" w:hAnsi="Calibri"/>
                <w:color w:val="000000"/>
                <w:sz w:val="20"/>
                <w:szCs w:val="20"/>
              </w:rPr>
              <w:t>into</w:t>
            </w:r>
            <w:proofErr w:type="spellEnd"/>
            <w:r>
              <w:rPr>
                <w:rFonts w:ascii="Calibri" w:hAnsi="Calibri"/>
                <w:color w:val="000000"/>
                <w:sz w:val="20"/>
                <w:szCs w:val="20"/>
              </w:rPr>
              <w:t xml:space="preserve"> </w:t>
            </w:r>
            <w:proofErr w:type="spellStart"/>
            <w:r>
              <w:rPr>
                <w:rFonts w:ascii="Calibri" w:hAnsi="Calibri"/>
                <w:color w:val="000000"/>
                <w:sz w:val="20"/>
                <w:szCs w:val="20"/>
              </w:rPr>
              <w:t>all</w:t>
            </w:r>
            <w:proofErr w:type="spellEnd"/>
            <w:r>
              <w:rPr>
                <w:rFonts w:ascii="Calibri" w:hAnsi="Calibri"/>
                <w:color w:val="000000"/>
                <w:sz w:val="20"/>
                <w:szCs w:val="20"/>
              </w:rPr>
              <w:t xml:space="preserve"> EU </w:t>
            </w:r>
            <w:proofErr w:type="spellStart"/>
            <w:r>
              <w:rPr>
                <w:rFonts w:ascii="Calibri" w:hAnsi="Calibri"/>
                <w:color w:val="000000"/>
                <w:sz w:val="20"/>
                <w:szCs w:val="20"/>
              </w:rPr>
              <w:t>languages</w:t>
            </w:r>
            <w:proofErr w:type="spellEnd"/>
            <w:r>
              <w:rPr>
                <w:rFonts w:ascii="Calibri" w:hAnsi="Calibri"/>
                <w:color w:val="000000"/>
                <w:sz w:val="20"/>
                <w:szCs w:val="20"/>
              </w:rPr>
              <w:t xml:space="preserve"> has been </w:t>
            </w:r>
            <w:proofErr w:type="spellStart"/>
            <w:r>
              <w:rPr>
                <w:rFonts w:ascii="Calibri" w:hAnsi="Calibri"/>
                <w:color w:val="000000"/>
                <w:sz w:val="20"/>
                <w:szCs w:val="20"/>
              </w:rPr>
              <w:t>completed</w:t>
            </w:r>
            <w:proofErr w:type="spellEnd"/>
            <w:r>
              <w:rPr>
                <w:rFonts w:ascii="Calibri" w:hAnsi="Calibri"/>
                <w:color w:val="000000"/>
                <w:sz w:val="20"/>
                <w:szCs w:val="20"/>
              </w:rPr>
              <w:t xml:space="preserve">. The </w:t>
            </w:r>
            <w:proofErr w:type="spellStart"/>
            <w:r>
              <w:rPr>
                <w:rFonts w:ascii="Calibri" w:hAnsi="Calibri"/>
                <w:color w:val="000000"/>
                <w:sz w:val="20"/>
                <w:szCs w:val="20"/>
              </w:rPr>
              <w:t>newly</w:t>
            </w:r>
            <w:proofErr w:type="spellEnd"/>
            <w:r>
              <w:rPr>
                <w:rFonts w:ascii="Calibri" w:hAnsi="Calibri"/>
                <w:color w:val="000000"/>
                <w:sz w:val="20"/>
                <w:szCs w:val="20"/>
              </w:rPr>
              <w:t xml:space="preserve"> </w:t>
            </w:r>
            <w:proofErr w:type="spellStart"/>
            <w:r>
              <w:rPr>
                <w:rFonts w:ascii="Calibri" w:hAnsi="Calibri"/>
                <w:color w:val="000000"/>
                <w:sz w:val="20"/>
                <w:szCs w:val="20"/>
              </w:rPr>
              <w:t>agreed</w:t>
            </w:r>
            <w:proofErr w:type="spellEnd"/>
            <w:r>
              <w:rPr>
                <w:rFonts w:ascii="Calibri" w:hAnsi="Calibri"/>
                <w:color w:val="000000"/>
                <w:sz w:val="20"/>
                <w:szCs w:val="20"/>
              </w:rPr>
              <w:t xml:space="preserve"> exchange </w:t>
            </w:r>
            <w:proofErr w:type="spellStart"/>
            <w:r>
              <w:rPr>
                <w:rFonts w:ascii="Calibri" w:hAnsi="Calibri"/>
                <w:color w:val="000000"/>
                <w:sz w:val="20"/>
                <w:szCs w:val="20"/>
              </w:rPr>
              <w:t>will</w:t>
            </w:r>
            <w:proofErr w:type="spellEnd"/>
            <w:r>
              <w:rPr>
                <w:rFonts w:ascii="Calibri" w:hAnsi="Calibri"/>
                <w:color w:val="000000"/>
                <w:sz w:val="20"/>
                <w:szCs w:val="20"/>
              </w:rPr>
              <w:t xml:space="preserve"> take </w:t>
            </w:r>
            <w:proofErr w:type="spellStart"/>
            <w:r>
              <w:rPr>
                <w:rFonts w:ascii="Calibri" w:hAnsi="Calibri"/>
                <w:color w:val="000000"/>
                <w:sz w:val="20"/>
                <w:szCs w:val="20"/>
              </w:rPr>
              <w:t>place</w:t>
            </w:r>
            <w:proofErr w:type="spellEnd"/>
            <w:r>
              <w:rPr>
                <w:rFonts w:ascii="Calibri" w:hAnsi="Calibri"/>
                <w:color w:val="000000"/>
                <w:sz w:val="20"/>
                <w:szCs w:val="20"/>
              </w:rPr>
              <w:t xml:space="preserve"> as of 2017. Austria was </w:t>
            </w:r>
            <w:proofErr w:type="spellStart"/>
            <w:r>
              <w:rPr>
                <w:rFonts w:ascii="Calibri" w:hAnsi="Calibri"/>
                <w:color w:val="000000"/>
                <w:sz w:val="20"/>
                <w:szCs w:val="20"/>
              </w:rPr>
              <w:t>granted</w:t>
            </w:r>
            <w:proofErr w:type="spellEnd"/>
            <w:r>
              <w:rPr>
                <w:rFonts w:ascii="Calibri" w:hAnsi="Calibri"/>
                <w:color w:val="000000"/>
                <w:sz w:val="20"/>
                <w:szCs w:val="20"/>
              </w:rPr>
              <w:t xml:space="preserve"> the </w:t>
            </w:r>
            <w:proofErr w:type="spellStart"/>
            <w:r>
              <w:rPr>
                <w:rFonts w:ascii="Calibri" w:hAnsi="Calibri"/>
                <w:color w:val="000000"/>
                <w:sz w:val="20"/>
                <w:szCs w:val="20"/>
              </w:rPr>
              <w:t>possibility</w:t>
            </w:r>
            <w:proofErr w:type="spellEnd"/>
            <w:r>
              <w:rPr>
                <w:rFonts w:ascii="Calibri" w:hAnsi="Calibri"/>
                <w:color w:val="000000"/>
                <w:sz w:val="20"/>
                <w:szCs w:val="20"/>
              </w:rPr>
              <w:t xml:space="preserve"> </w:t>
            </w:r>
            <w:proofErr w:type="spellStart"/>
            <w:r>
              <w:rPr>
                <w:rFonts w:ascii="Calibri" w:hAnsi="Calibri"/>
                <w:color w:val="000000"/>
                <w:sz w:val="20"/>
                <w:szCs w:val="20"/>
              </w:rPr>
              <w:t>to</w:t>
            </w:r>
            <w:proofErr w:type="spellEnd"/>
            <w:r>
              <w:rPr>
                <w:rFonts w:ascii="Calibri" w:hAnsi="Calibri"/>
                <w:color w:val="000000"/>
                <w:sz w:val="20"/>
                <w:szCs w:val="20"/>
              </w:rPr>
              <w:t xml:space="preserve"> </w:t>
            </w:r>
            <w:proofErr w:type="spellStart"/>
            <w:r>
              <w:rPr>
                <w:rFonts w:ascii="Calibri" w:hAnsi="Calibri"/>
                <w:color w:val="000000"/>
                <w:sz w:val="20"/>
                <w:szCs w:val="20"/>
              </w:rPr>
              <w:t>postpone</w:t>
            </w:r>
            <w:proofErr w:type="spellEnd"/>
            <w:r>
              <w:rPr>
                <w:rFonts w:ascii="Calibri" w:hAnsi="Calibri"/>
                <w:color w:val="000000"/>
                <w:sz w:val="20"/>
                <w:szCs w:val="20"/>
              </w:rPr>
              <w:t xml:space="preserve"> the standard </w:t>
            </w:r>
            <w:proofErr w:type="spellStart"/>
            <w:r>
              <w:rPr>
                <w:rFonts w:ascii="Calibri" w:hAnsi="Calibri"/>
                <w:color w:val="000000"/>
                <w:sz w:val="20"/>
                <w:szCs w:val="20"/>
              </w:rPr>
              <w:t>by</w:t>
            </w:r>
            <w:proofErr w:type="spellEnd"/>
            <w:r>
              <w:rPr>
                <w:rFonts w:ascii="Calibri" w:hAnsi="Calibri"/>
                <w:color w:val="000000"/>
                <w:sz w:val="20"/>
                <w:szCs w:val="20"/>
              </w:rPr>
              <w:t xml:space="preserve"> </w:t>
            </w:r>
            <w:proofErr w:type="spellStart"/>
            <w:r>
              <w:rPr>
                <w:rFonts w:ascii="Calibri" w:hAnsi="Calibri"/>
                <w:color w:val="000000"/>
                <w:sz w:val="20"/>
                <w:szCs w:val="20"/>
              </w:rPr>
              <w:t>an</w:t>
            </w:r>
            <w:proofErr w:type="spellEnd"/>
            <w:r>
              <w:rPr>
                <w:rFonts w:ascii="Calibri" w:hAnsi="Calibri"/>
                <w:color w:val="000000"/>
                <w:sz w:val="20"/>
                <w:szCs w:val="20"/>
              </w:rPr>
              <w:t xml:space="preserve"> </w:t>
            </w:r>
            <w:proofErr w:type="spellStart"/>
            <w:r>
              <w:rPr>
                <w:rFonts w:ascii="Calibri" w:hAnsi="Calibri"/>
                <w:color w:val="000000"/>
                <w:sz w:val="20"/>
                <w:szCs w:val="20"/>
              </w:rPr>
              <w:t>additional</w:t>
            </w:r>
            <w:proofErr w:type="spellEnd"/>
            <w:r>
              <w:rPr>
                <w:rFonts w:ascii="Calibri" w:hAnsi="Calibri"/>
                <w:color w:val="000000"/>
                <w:sz w:val="20"/>
                <w:szCs w:val="20"/>
              </w:rPr>
              <w:t xml:space="preserve"> </w:t>
            </w:r>
            <w:proofErr w:type="spellStart"/>
            <w:r>
              <w:rPr>
                <w:rFonts w:ascii="Calibri" w:hAnsi="Calibri"/>
                <w:color w:val="000000"/>
                <w:sz w:val="20"/>
                <w:szCs w:val="20"/>
              </w:rPr>
              <w:t>year</w:t>
            </w:r>
            <w:proofErr w:type="spellEnd"/>
            <w:r>
              <w:rPr>
                <w:rFonts w:ascii="Calibri" w:hAnsi="Calibri"/>
                <w:color w:val="000000"/>
                <w:sz w:val="20"/>
                <w:szCs w:val="20"/>
              </w:rPr>
              <w:t>.</w:t>
            </w:r>
          </w:p>
          <w:p w:rsidR="005E3B95" w:rsidRDefault="005E3B95">
            <w:pPr>
              <w:shd w:val="clear" w:color="auto" w:fill="FEFEFE"/>
              <w:spacing w:line="276" w:lineRule="auto"/>
              <w:ind w:left="567" w:right="141"/>
              <w:rPr>
                <w:rFonts w:ascii="Calibri" w:hAnsi="Calibri"/>
                <w:color w:val="000000"/>
                <w:sz w:val="20"/>
                <w:szCs w:val="20"/>
              </w:rPr>
            </w:pPr>
            <w:r>
              <w:rPr>
                <w:rFonts w:ascii="Calibri" w:hAnsi="Calibri"/>
                <w:color w:val="000000"/>
                <w:sz w:val="20"/>
                <w:szCs w:val="20"/>
              </w:rPr>
              <w:t xml:space="preserve">The </w:t>
            </w:r>
            <w:proofErr w:type="spellStart"/>
            <w:r>
              <w:rPr>
                <w:rFonts w:ascii="Calibri" w:hAnsi="Calibri"/>
                <w:color w:val="000000"/>
                <w:sz w:val="20"/>
                <w:szCs w:val="20"/>
              </w:rPr>
              <w:t>amended</w:t>
            </w:r>
            <w:proofErr w:type="spellEnd"/>
            <w:r>
              <w:rPr>
                <w:rFonts w:ascii="Calibri" w:hAnsi="Calibri"/>
                <w:color w:val="000000"/>
                <w:sz w:val="20"/>
                <w:szCs w:val="20"/>
              </w:rPr>
              <w:t xml:space="preserve"> Directive </w:t>
            </w:r>
            <w:proofErr w:type="spellStart"/>
            <w:r>
              <w:rPr>
                <w:rFonts w:ascii="Calibri" w:hAnsi="Calibri"/>
                <w:color w:val="000000"/>
                <w:sz w:val="20"/>
                <w:szCs w:val="20"/>
              </w:rPr>
              <w:t>will</w:t>
            </w:r>
            <w:proofErr w:type="spellEnd"/>
            <w:r>
              <w:rPr>
                <w:rFonts w:ascii="Calibri" w:hAnsi="Calibri"/>
                <w:color w:val="000000"/>
                <w:sz w:val="20"/>
                <w:szCs w:val="20"/>
              </w:rPr>
              <w:t xml:space="preserve"> </w:t>
            </w:r>
            <w:proofErr w:type="spellStart"/>
            <w:r>
              <w:rPr>
                <w:rFonts w:ascii="Calibri" w:hAnsi="Calibri"/>
                <w:color w:val="000000"/>
                <w:sz w:val="20"/>
                <w:szCs w:val="20"/>
              </w:rPr>
              <w:t>provide</w:t>
            </w:r>
            <w:proofErr w:type="spellEnd"/>
            <w:r>
              <w:rPr>
                <w:rFonts w:ascii="Calibri" w:hAnsi="Calibri"/>
                <w:color w:val="000000"/>
                <w:sz w:val="20"/>
                <w:szCs w:val="20"/>
              </w:rPr>
              <w:t xml:space="preserve"> </w:t>
            </w:r>
            <w:proofErr w:type="spellStart"/>
            <w:r>
              <w:rPr>
                <w:rFonts w:ascii="Calibri" w:hAnsi="Calibri"/>
                <w:color w:val="000000"/>
                <w:sz w:val="20"/>
                <w:szCs w:val="20"/>
              </w:rPr>
              <w:t>an</w:t>
            </w:r>
            <w:proofErr w:type="spellEnd"/>
            <w:r>
              <w:rPr>
                <w:rFonts w:ascii="Calibri" w:hAnsi="Calibri"/>
                <w:color w:val="000000"/>
                <w:sz w:val="20"/>
                <w:szCs w:val="20"/>
              </w:rPr>
              <w:t xml:space="preserve"> EU </w:t>
            </w:r>
            <w:proofErr w:type="spellStart"/>
            <w:r>
              <w:rPr>
                <w:rFonts w:ascii="Calibri" w:hAnsi="Calibri"/>
                <w:color w:val="000000"/>
                <w:sz w:val="20"/>
                <w:szCs w:val="20"/>
              </w:rPr>
              <w:t>legal</w:t>
            </w:r>
            <w:proofErr w:type="spellEnd"/>
            <w:r>
              <w:rPr>
                <w:rFonts w:ascii="Calibri" w:hAnsi="Calibri"/>
                <w:color w:val="000000"/>
                <w:sz w:val="20"/>
                <w:szCs w:val="20"/>
              </w:rPr>
              <w:t xml:space="preserve"> </w:t>
            </w:r>
            <w:proofErr w:type="spellStart"/>
            <w:r>
              <w:rPr>
                <w:rFonts w:ascii="Calibri" w:hAnsi="Calibri"/>
                <w:color w:val="000000"/>
                <w:sz w:val="20"/>
                <w:szCs w:val="20"/>
              </w:rPr>
              <w:t>framework</w:t>
            </w:r>
            <w:proofErr w:type="spellEnd"/>
            <w:r>
              <w:rPr>
                <w:rFonts w:ascii="Calibri" w:hAnsi="Calibri"/>
                <w:color w:val="000000"/>
                <w:sz w:val="20"/>
                <w:szCs w:val="20"/>
              </w:rPr>
              <w:t xml:space="preserve"> </w:t>
            </w:r>
            <w:proofErr w:type="spellStart"/>
            <w:r>
              <w:rPr>
                <w:rFonts w:ascii="Calibri" w:hAnsi="Calibri"/>
                <w:color w:val="000000"/>
                <w:sz w:val="20"/>
                <w:szCs w:val="20"/>
              </w:rPr>
              <w:t>for</w:t>
            </w:r>
            <w:proofErr w:type="spellEnd"/>
            <w:r>
              <w:rPr>
                <w:rFonts w:ascii="Calibri" w:hAnsi="Calibri"/>
                <w:color w:val="000000"/>
                <w:sz w:val="20"/>
                <w:szCs w:val="20"/>
              </w:rPr>
              <w:t xml:space="preserve"> </w:t>
            </w:r>
            <w:proofErr w:type="spellStart"/>
            <w:r>
              <w:rPr>
                <w:rFonts w:ascii="Calibri" w:hAnsi="Calibri"/>
                <w:color w:val="000000"/>
                <w:sz w:val="20"/>
                <w:szCs w:val="20"/>
              </w:rPr>
              <w:t>applying</w:t>
            </w:r>
            <w:proofErr w:type="spellEnd"/>
            <w:r>
              <w:rPr>
                <w:rFonts w:ascii="Calibri" w:hAnsi="Calibri"/>
                <w:color w:val="000000"/>
                <w:sz w:val="20"/>
                <w:szCs w:val="20"/>
              </w:rPr>
              <w:t xml:space="preserve"> the G20 standard. </w:t>
            </w:r>
            <w:proofErr w:type="spellStart"/>
            <w:r>
              <w:rPr>
                <w:rFonts w:ascii="Calibri" w:hAnsi="Calibri"/>
                <w:color w:val="000000"/>
                <w:sz w:val="20"/>
                <w:szCs w:val="20"/>
              </w:rPr>
              <w:t>However</w:t>
            </w:r>
            <w:proofErr w:type="spellEnd"/>
            <w:r>
              <w:rPr>
                <w:rFonts w:ascii="Calibri" w:hAnsi="Calibri"/>
                <w:color w:val="000000"/>
                <w:sz w:val="20"/>
                <w:szCs w:val="20"/>
              </w:rPr>
              <w:t xml:space="preserve">, member </w:t>
            </w:r>
            <w:proofErr w:type="spellStart"/>
            <w:r>
              <w:rPr>
                <w:rFonts w:ascii="Calibri" w:hAnsi="Calibri"/>
                <w:color w:val="000000"/>
                <w:sz w:val="20"/>
                <w:szCs w:val="20"/>
              </w:rPr>
              <w:t>states</w:t>
            </w:r>
            <w:proofErr w:type="spellEnd"/>
            <w:r>
              <w:rPr>
                <w:rFonts w:ascii="Calibri" w:hAnsi="Calibri"/>
                <w:color w:val="000000"/>
                <w:sz w:val="20"/>
                <w:szCs w:val="20"/>
              </w:rPr>
              <w:t xml:space="preserve"> </w:t>
            </w:r>
            <w:proofErr w:type="spellStart"/>
            <w:r>
              <w:rPr>
                <w:rFonts w:ascii="Calibri" w:hAnsi="Calibri"/>
                <w:color w:val="000000"/>
                <w:sz w:val="20"/>
                <w:szCs w:val="20"/>
              </w:rPr>
              <w:t>may</w:t>
            </w:r>
            <w:proofErr w:type="spellEnd"/>
            <w:r>
              <w:rPr>
                <w:rFonts w:ascii="Calibri" w:hAnsi="Calibri"/>
                <w:color w:val="000000"/>
                <w:sz w:val="20"/>
                <w:szCs w:val="20"/>
              </w:rPr>
              <w:t xml:space="preserve"> </w:t>
            </w:r>
            <w:proofErr w:type="spellStart"/>
            <w:r>
              <w:rPr>
                <w:rFonts w:ascii="Calibri" w:hAnsi="Calibri"/>
                <w:color w:val="000000"/>
                <w:sz w:val="20"/>
                <w:szCs w:val="20"/>
              </w:rPr>
              <w:t>already</w:t>
            </w:r>
            <w:proofErr w:type="spellEnd"/>
            <w:r>
              <w:rPr>
                <w:rFonts w:ascii="Calibri" w:hAnsi="Calibri"/>
                <w:color w:val="000000"/>
                <w:sz w:val="20"/>
                <w:szCs w:val="20"/>
              </w:rPr>
              <w:t xml:space="preserve"> </w:t>
            </w:r>
            <w:proofErr w:type="spellStart"/>
            <w:r>
              <w:rPr>
                <w:rFonts w:ascii="Calibri" w:hAnsi="Calibri"/>
                <w:color w:val="000000"/>
                <w:sz w:val="20"/>
                <w:szCs w:val="20"/>
              </w:rPr>
              <w:t>require</w:t>
            </w:r>
            <w:proofErr w:type="spellEnd"/>
            <w:r>
              <w:rPr>
                <w:rFonts w:ascii="Calibri" w:hAnsi="Calibri"/>
                <w:color w:val="000000"/>
                <w:sz w:val="20"/>
                <w:szCs w:val="20"/>
              </w:rPr>
              <w:t xml:space="preserve"> information exchange </w:t>
            </w:r>
            <w:proofErr w:type="spellStart"/>
            <w:r>
              <w:rPr>
                <w:rFonts w:ascii="Calibri" w:hAnsi="Calibri"/>
                <w:color w:val="000000"/>
                <w:sz w:val="20"/>
                <w:szCs w:val="20"/>
              </w:rPr>
              <w:t>going</w:t>
            </w:r>
            <w:proofErr w:type="spellEnd"/>
            <w:r>
              <w:rPr>
                <w:rFonts w:ascii="Calibri" w:hAnsi="Calibri"/>
                <w:color w:val="000000"/>
                <w:sz w:val="20"/>
                <w:szCs w:val="20"/>
              </w:rPr>
              <w:t xml:space="preserve"> </w:t>
            </w:r>
            <w:proofErr w:type="spellStart"/>
            <w:r>
              <w:rPr>
                <w:rFonts w:ascii="Calibri" w:hAnsi="Calibri"/>
                <w:color w:val="000000"/>
                <w:sz w:val="20"/>
                <w:szCs w:val="20"/>
              </w:rPr>
              <w:t>further</w:t>
            </w:r>
            <w:proofErr w:type="spellEnd"/>
            <w:r>
              <w:rPr>
                <w:rFonts w:ascii="Calibri" w:hAnsi="Calibri"/>
                <w:color w:val="000000"/>
                <w:sz w:val="20"/>
                <w:szCs w:val="20"/>
              </w:rPr>
              <w:t xml:space="preserve"> </w:t>
            </w:r>
            <w:proofErr w:type="spellStart"/>
            <w:r>
              <w:rPr>
                <w:rFonts w:ascii="Calibri" w:hAnsi="Calibri"/>
                <w:color w:val="000000"/>
                <w:sz w:val="20"/>
                <w:szCs w:val="20"/>
              </w:rPr>
              <w:t>than</w:t>
            </w:r>
            <w:proofErr w:type="spellEnd"/>
            <w:r>
              <w:rPr>
                <w:rFonts w:ascii="Calibri" w:hAnsi="Calibri"/>
                <w:color w:val="000000"/>
                <w:sz w:val="20"/>
                <w:szCs w:val="20"/>
              </w:rPr>
              <w:t xml:space="preserve"> the </w:t>
            </w:r>
            <w:proofErr w:type="spellStart"/>
            <w:r>
              <w:rPr>
                <w:rFonts w:ascii="Calibri" w:hAnsi="Calibri"/>
                <w:color w:val="000000"/>
                <w:sz w:val="20"/>
                <w:szCs w:val="20"/>
              </w:rPr>
              <w:t>categories</w:t>
            </w:r>
            <w:proofErr w:type="spellEnd"/>
            <w:r>
              <w:rPr>
                <w:rFonts w:ascii="Calibri" w:hAnsi="Calibri"/>
                <w:color w:val="000000"/>
                <w:sz w:val="20"/>
                <w:szCs w:val="20"/>
              </w:rPr>
              <w:t xml:space="preserve"> </w:t>
            </w:r>
            <w:proofErr w:type="spellStart"/>
            <w:r>
              <w:rPr>
                <w:rFonts w:ascii="Calibri" w:hAnsi="Calibri"/>
                <w:color w:val="000000"/>
                <w:sz w:val="20"/>
                <w:szCs w:val="20"/>
              </w:rPr>
              <w:t>listed</w:t>
            </w:r>
            <w:proofErr w:type="spellEnd"/>
            <w:r>
              <w:rPr>
                <w:rFonts w:ascii="Calibri" w:hAnsi="Calibri"/>
                <w:color w:val="000000"/>
                <w:sz w:val="20"/>
                <w:szCs w:val="20"/>
              </w:rPr>
              <w:t xml:space="preserve"> in the </w:t>
            </w:r>
            <w:proofErr w:type="spellStart"/>
            <w:r>
              <w:rPr>
                <w:rFonts w:ascii="Calibri" w:hAnsi="Calibri"/>
                <w:color w:val="000000"/>
                <w:sz w:val="20"/>
                <w:szCs w:val="20"/>
              </w:rPr>
              <w:t>current</w:t>
            </w:r>
            <w:proofErr w:type="spellEnd"/>
            <w:r>
              <w:rPr>
                <w:rFonts w:ascii="Calibri" w:hAnsi="Calibri"/>
                <w:color w:val="000000"/>
                <w:sz w:val="20"/>
                <w:szCs w:val="20"/>
              </w:rPr>
              <w:t xml:space="preserve"> Directive, </w:t>
            </w:r>
            <w:proofErr w:type="spellStart"/>
            <w:r>
              <w:rPr>
                <w:rFonts w:ascii="Calibri" w:hAnsi="Calibri"/>
                <w:color w:val="000000"/>
                <w:sz w:val="20"/>
                <w:szCs w:val="20"/>
              </w:rPr>
              <w:t>because</w:t>
            </w:r>
            <w:proofErr w:type="spellEnd"/>
            <w:r>
              <w:rPr>
                <w:rFonts w:ascii="Calibri" w:hAnsi="Calibri"/>
                <w:color w:val="000000"/>
                <w:sz w:val="20"/>
                <w:szCs w:val="20"/>
              </w:rPr>
              <w:t xml:space="preserve"> the Directive </w:t>
            </w:r>
            <w:proofErr w:type="spellStart"/>
            <w:r>
              <w:rPr>
                <w:rFonts w:ascii="Calibri" w:hAnsi="Calibri"/>
                <w:color w:val="000000"/>
                <w:sz w:val="20"/>
                <w:szCs w:val="20"/>
              </w:rPr>
              <w:t>provides</w:t>
            </w:r>
            <w:proofErr w:type="spellEnd"/>
            <w:r>
              <w:rPr>
                <w:rFonts w:ascii="Calibri" w:hAnsi="Calibri"/>
                <w:color w:val="000000"/>
                <w:sz w:val="20"/>
                <w:szCs w:val="20"/>
              </w:rPr>
              <w:t xml:space="preserve"> </w:t>
            </w:r>
            <w:proofErr w:type="spellStart"/>
            <w:r>
              <w:rPr>
                <w:rFonts w:ascii="Calibri" w:hAnsi="Calibri"/>
                <w:color w:val="000000"/>
                <w:sz w:val="20"/>
                <w:szCs w:val="20"/>
              </w:rPr>
              <w:t>that</w:t>
            </w:r>
            <w:proofErr w:type="spellEnd"/>
            <w:r>
              <w:rPr>
                <w:rFonts w:ascii="Calibri" w:hAnsi="Calibri"/>
                <w:color w:val="000000"/>
                <w:sz w:val="20"/>
                <w:szCs w:val="20"/>
              </w:rPr>
              <w:t xml:space="preserve"> EU member </w:t>
            </w:r>
            <w:proofErr w:type="spellStart"/>
            <w:r>
              <w:rPr>
                <w:rFonts w:ascii="Calibri" w:hAnsi="Calibri"/>
                <w:color w:val="000000"/>
                <w:sz w:val="20"/>
                <w:szCs w:val="20"/>
              </w:rPr>
              <w:t>states</w:t>
            </w:r>
            <w:proofErr w:type="spellEnd"/>
            <w:r>
              <w:rPr>
                <w:rFonts w:ascii="Calibri" w:hAnsi="Calibri"/>
                <w:color w:val="000000"/>
                <w:sz w:val="20"/>
                <w:szCs w:val="20"/>
              </w:rPr>
              <w:t xml:space="preserve"> have </w:t>
            </w:r>
            <w:proofErr w:type="spellStart"/>
            <w:r>
              <w:rPr>
                <w:rFonts w:ascii="Calibri" w:hAnsi="Calibri"/>
                <w:color w:val="000000"/>
                <w:sz w:val="20"/>
                <w:szCs w:val="20"/>
              </w:rPr>
              <w:t>to</w:t>
            </w:r>
            <w:proofErr w:type="spellEnd"/>
            <w:r>
              <w:rPr>
                <w:rFonts w:ascii="Calibri" w:hAnsi="Calibri"/>
                <w:color w:val="000000"/>
                <w:sz w:val="20"/>
                <w:szCs w:val="20"/>
              </w:rPr>
              <w:t xml:space="preserve"> </w:t>
            </w:r>
            <w:proofErr w:type="spellStart"/>
            <w:r>
              <w:rPr>
                <w:rFonts w:ascii="Calibri" w:hAnsi="Calibri"/>
                <w:color w:val="000000"/>
                <w:sz w:val="20"/>
                <w:szCs w:val="20"/>
              </w:rPr>
              <w:t>grant</w:t>
            </w:r>
            <w:proofErr w:type="spellEnd"/>
            <w:r>
              <w:rPr>
                <w:rFonts w:ascii="Calibri" w:hAnsi="Calibri"/>
                <w:color w:val="000000"/>
                <w:sz w:val="20"/>
                <w:szCs w:val="20"/>
              </w:rPr>
              <w:t xml:space="preserve"> </w:t>
            </w:r>
            <w:proofErr w:type="spellStart"/>
            <w:r>
              <w:rPr>
                <w:rFonts w:ascii="Calibri" w:hAnsi="Calibri"/>
                <w:color w:val="000000"/>
                <w:sz w:val="20"/>
                <w:szCs w:val="20"/>
              </w:rPr>
              <w:t>to</w:t>
            </w:r>
            <w:proofErr w:type="spellEnd"/>
            <w:r>
              <w:rPr>
                <w:rFonts w:ascii="Calibri" w:hAnsi="Calibri"/>
                <w:color w:val="000000"/>
                <w:sz w:val="20"/>
                <w:szCs w:val="20"/>
              </w:rPr>
              <w:t xml:space="preserve"> </w:t>
            </w:r>
            <w:proofErr w:type="spellStart"/>
            <w:r>
              <w:rPr>
                <w:rFonts w:ascii="Calibri" w:hAnsi="Calibri"/>
                <w:color w:val="000000"/>
                <w:sz w:val="20"/>
                <w:szCs w:val="20"/>
              </w:rPr>
              <w:t>any</w:t>
            </w:r>
            <w:proofErr w:type="spellEnd"/>
            <w:r>
              <w:rPr>
                <w:rFonts w:ascii="Calibri" w:hAnsi="Calibri"/>
                <w:color w:val="000000"/>
                <w:sz w:val="20"/>
                <w:szCs w:val="20"/>
              </w:rPr>
              <w:t xml:space="preserve"> </w:t>
            </w:r>
            <w:proofErr w:type="spellStart"/>
            <w:r>
              <w:rPr>
                <w:rFonts w:ascii="Calibri" w:hAnsi="Calibri"/>
                <w:color w:val="000000"/>
                <w:sz w:val="20"/>
                <w:szCs w:val="20"/>
              </w:rPr>
              <w:t>other</w:t>
            </w:r>
            <w:proofErr w:type="spellEnd"/>
            <w:r>
              <w:rPr>
                <w:rFonts w:ascii="Calibri" w:hAnsi="Calibri"/>
                <w:color w:val="000000"/>
                <w:sz w:val="20"/>
                <w:szCs w:val="20"/>
              </w:rPr>
              <w:t xml:space="preserve"> member state the </w:t>
            </w:r>
            <w:proofErr w:type="spellStart"/>
            <w:r>
              <w:rPr>
                <w:rFonts w:ascii="Calibri" w:hAnsi="Calibri"/>
                <w:color w:val="000000"/>
                <w:sz w:val="20"/>
                <w:szCs w:val="20"/>
              </w:rPr>
              <w:t>same</w:t>
            </w:r>
            <w:proofErr w:type="spellEnd"/>
            <w:r>
              <w:rPr>
                <w:rFonts w:ascii="Calibri" w:hAnsi="Calibri"/>
                <w:color w:val="000000"/>
                <w:sz w:val="20"/>
                <w:szCs w:val="20"/>
              </w:rPr>
              <w:t xml:space="preserve"> more </w:t>
            </w:r>
            <w:proofErr w:type="spellStart"/>
            <w:r>
              <w:rPr>
                <w:rFonts w:ascii="Calibri" w:hAnsi="Calibri"/>
                <w:color w:val="000000"/>
                <w:sz w:val="20"/>
                <w:szCs w:val="20"/>
              </w:rPr>
              <w:t>favourable</w:t>
            </w:r>
            <w:proofErr w:type="spellEnd"/>
            <w:r>
              <w:rPr>
                <w:rFonts w:ascii="Calibri" w:hAnsi="Calibri"/>
                <w:color w:val="000000"/>
                <w:sz w:val="20"/>
                <w:szCs w:val="20"/>
              </w:rPr>
              <w:t xml:space="preserve"> </w:t>
            </w:r>
            <w:proofErr w:type="spellStart"/>
            <w:r>
              <w:rPr>
                <w:rFonts w:ascii="Calibri" w:hAnsi="Calibri"/>
                <w:color w:val="000000"/>
                <w:sz w:val="20"/>
                <w:szCs w:val="20"/>
              </w:rPr>
              <w:t>conditions</w:t>
            </w:r>
            <w:proofErr w:type="spellEnd"/>
            <w:r>
              <w:rPr>
                <w:rFonts w:ascii="Calibri" w:hAnsi="Calibri"/>
                <w:color w:val="000000"/>
                <w:sz w:val="20"/>
                <w:szCs w:val="20"/>
              </w:rPr>
              <w:t xml:space="preserve"> </w:t>
            </w:r>
            <w:proofErr w:type="spellStart"/>
            <w:r>
              <w:rPr>
                <w:rFonts w:ascii="Calibri" w:hAnsi="Calibri"/>
                <w:color w:val="000000"/>
                <w:sz w:val="20"/>
                <w:szCs w:val="20"/>
              </w:rPr>
              <w:t>they</w:t>
            </w:r>
            <w:proofErr w:type="spellEnd"/>
            <w:r>
              <w:rPr>
                <w:rFonts w:ascii="Calibri" w:hAnsi="Calibri"/>
                <w:color w:val="000000"/>
                <w:sz w:val="20"/>
                <w:szCs w:val="20"/>
              </w:rPr>
              <w:t xml:space="preserve"> </w:t>
            </w:r>
            <w:proofErr w:type="spellStart"/>
            <w:r>
              <w:rPr>
                <w:rFonts w:ascii="Calibri" w:hAnsi="Calibri"/>
                <w:color w:val="000000"/>
                <w:sz w:val="20"/>
                <w:szCs w:val="20"/>
              </w:rPr>
              <w:t>grant</w:t>
            </w:r>
            <w:proofErr w:type="spellEnd"/>
            <w:r>
              <w:rPr>
                <w:rFonts w:ascii="Calibri" w:hAnsi="Calibri"/>
                <w:color w:val="000000"/>
                <w:sz w:val="20"/>
                <w:szCs w:val="20"/>
              </w:rPr>
              <w:t xml:space="preserve"> </w:t>
            </w:r>
            <w:proofErr w:type="spellStart"/>
            <w:r>
              <w:rPr>
                <w:rFonts w:ascii="Calibri" w:hAnsi="Calibri"/>
                <w:color w:val="000000"/>
                <w:sz w:val="20"/>
                <w:szCs w:val="20"/>
              </w:rPr>
              <w:t>to</w:t>
            </w:r>
            <w:proofErr w:type="spellEnd"/>
            <w:r>
              <w:rPr>
                <w:rFonts w:ascii="Calibri" w:hAnsi="Calibri"/>
                <w:color w:val="000000"/>
                <w:sz w:val="20"/>
                <w:szCs w:val="20"/>
              </w:rPr>
              <w:t xml:space="preserve"> </w:t>
            </w:r>
            <w:proofErr w:type="spellStart"/>
            <w:r>
              <w:rPr>
                <w:rFonts w:ascii="Calibri" w:hAnsi="Calibri"/>
                <w:color w:val="000000"/>
                <w:sz w:val="20"/>
                <w:szCs w:val="20"/>
              </w:rPr>
              <w:t>any</w:t>
            </w:r>
            <w:proofErr w:type="spellEnd"/>
            <w:r>
              <w:rPr>
                <w:rFonts w:ascii="Calibri" w:hAnsi="Calibri"/>
                <w:color w:val="000000"/>
                <w:sz w:val="20"/>
                <w:szCs w:val="20"/>
              </w:rPr>
              <w:t xml:space="preserve"> </w:t>
            </w:r>
            <w:proofErr w:type="spellStart"/>
            <w:r>
              <w:rPr>
                <w:rFonts w:ascii="Calibri" w:hAnsi="Calibri"/>
                <w:color w:val="000000"/>
                <w:sz w:val="20"/>
                <w:szCs w:val="20"/>
              </w:rPr>
              <w:t>third</w:t>
            </w:r>
            <w:proofErr w:type="spellEnd"/>
            <w:r>
              <w:rPr>
                <w:rFonts w:ascii="Calibri" w:hAnsi="Calibri"/>
                <w:color w:val="000000"/>
                <w:sz w:val="20"/>
                <w:szCs w:val="20"/>
              </w:rPr>
              <w:t xml:space="preserve"> country, </w:t>
            </w:r>
            <w:proofErr w:type="spellStart"/>
            <w:r>
              <w:rPr>
                <w:rFonts w:ascii="Calibri" w:hAnsi="Calibri"/>
                <w:color w:val="000000"/>
                <w:sz w:val="20"/>
                <w:szCs w:val="20"/>
              </w:rPr>
              <w:t>and</w:t>
            </w:r>
            <w:proofErr w:type="spellEnd"/>
            <w:r>
              <w:rPr>
                <w:rFonts w:ascii="Calibri" w:hAnsi="Calibri"/>
                <w:color w:val="000000"/>
                <w:sz w:val="20"/>
                <w:szCs w:val="20"/>
              </w:rPr>
              <w:t xml:space="preserve"> a </w:t>
            </w:r>
            <w:proofErr w:type="spellStart"/>
            <w:r>
              <w:rPr>
                <w:rFonts w:ascii="Calibri" w:hAnsi="Calibri"/>
                <w:color w:val="000000"/>
                <w:sz w:val="20"/>
                <w:szCs w:val="20"/>
              </w:rPr>
              <w:t>number</w:t>
            </w:r>
            <w:proofErr w:type="spellEnd"/>
            <w:r>
              <w:rPr>
                <w:rFonts w:ascii="Calibri" w:hAnsi="Calibri"/>
                <w:color w:val="000000"/>
                <w:sz w:val="20"/>
                <w:szCs w:val="20"/>
              </w:rPr>
              <w:t xml:space="preserve"> of EU </w:t>
            </w:r>
            <w:proofErr w:type="spellStart"/>
            <w:r>
              <w:rPr>
                <w:rFonts w:ascii="Calibri" w:hAnsi="Calibri"/>
                <w:color w:val="000000"/>
                <w:sz w:val="20"/>
                <w:szCs w:val="20"/>
              </w:rPr>
              <w:t>countries</w:t>
            </w:r>
            <w:proofErr w:type="spellEnd"/>
            <w:r>
              <w:rPr>
                <w:rFonts w:ascii="Calibri" w:hAnsi="Calibri"/>
                <w:color w:val="000000"/>
                <w:sz w:val="20"/>
                <w:szCs w:val="20"/>
              </w:rPr>
              <w:t xml:space="preserve"> have </w:t>
            </w:r>
            <w:proofErr w:type="spellStart"/>
            <w:r>
              <w:rPr>
                <w:rFonts w:ascii="Calibri" w:hAnsi="Calibri"/>
                <w:color w:val="000000"/>
                <w:sz w:val="20"/>
                <w:szCs w:val="20"/>
              </w:rPr>
              <w:t>bilaterally</w:t>
            </w:r>
            <w:proofErr w:type="spellEnd"/>
            <w:r>
              <w:rPr>
                <w:rFonts w:ascii="Calibri" w:hAnsi="Calibri"/>
                <w:color w:val="000000"/>
                <w:sz w:val="20"/>
                <w:szCs w:val="20"/>
              </w:rPr>
              <w:t xml:space="preserve"> </w:t>
            </w:r>
            <w:proofErr w:type="spellStart"/>
            <w:r>
              <w:rPr>
                <w:rFonts w:ascii="Calibri" w:hAnsi="Calibri"/>
                <w:color w:val="000000"/>
                <w:sz w:val="20"/>
                <w:szCs w:val="20"/>
              </w:rPr>
              <w:t>agreed</w:t>
            </w:r>
            <w:proofErr w:type="spellEnd"/>
            <w:r>
              <w:rPr>
                <w:rFonts w:ascii="Calibri" w:hAnsi="Calibri"/>
                <w:color w:val="000000"/>
                <w:sz w:val="20"/>
                <w:szCs w:val="20"/>
              </w:rPr>
              <w:t xml:space="preserve"> </w:t>
            </w:r>
            <w:proofErr w:type="spellStart"/>
            <w:r>
              <w:rPr>
                <w:rFonts w:ascii="Calibri" w:hAnsi="Calibri"/>
                <w:color w:val="000000"/>
                <w:sz w:val="20"/>
                <w:szCs w:val="20"/>
              </w:rPr>
              <w:t>further</w:t>
            </w:r>
            <w:proofErr w:type="spellEnd"/>
            <w:r>
              <w:rPr>
                <w:rFonts w:ascii="Calibri" w:hAnsi="Calibri"/>
                <w:color w:val="000000"/>
                <w:sz w:val="20"/>
                <w:szCs w:val="20"/>
              </w:rPr>
              <w:t xml:space="preserve"> cooperation </w:t>
            </w:r>
            <w:proofErr w:type="spellStart"/>
            <w:r>
              <w:rPr>
                <w:rFonts w:ascii="Calibri" w:hAnsi="Calibri"/>
                <w:color w:val="000000"/>
                <w:sz w:val="20"/>
                <w:szCs w:val="20"/>
              </w:rPr>
              <w:t>with</w:t>
            </w:r>
            <w:proofErr w:type="spellEnd"/>
            <w:r>
              <w:rPr>
                <w:rFonts w:ascii="Calibri" w:hAnsi="Calibri"/>
                <w:color w:val="000000"/>
                <w:sz w:val="20"/>
                <w:szCs w:val="20"/>
              </w:rPr>
              <w:t xml:space="preserve"> the US, on FATCA.</w:t>
            </w:r>
          </w:p>
          <w:p w:rsidR="005E3B95" w:rsidRDefault="005E3B95">
            <w:pPr>
              <w:shd w:val="clear" w:color="auto" w:fill="FEFEFE"/>
              <w:spacing w:line="276" w:lineRule="auto"/>
              <w:ind w:left="567"/>
              <w:jc w:val="both"/>
              <w:rPr>
                <w:rFonts w:ascii="Calibri" w:hAnsi="Calibri"/>
                <w:color w:val="000000"/>
                <w:sz w:val="20"/>
                <w:szCs w:val="20"/>
              </w:rPr>
            </w:pPr>
          </w:p>
          <w:p w:rsidR="005E3B95" w:rsidRDefault="005E3B95" w:rsidP="002549E1">
            <w:pPr>
              <w:pStyle w:val="Lijstalinea"/>
              <w:numPr>
                <w:ilvl w:val="0"/>
                <w:numId w:val="2"/>
              </w:numPr>
              <w:shd w:val="clear" w:color="auto" w:fill="FEFEFE"/>
              <w:spacing w:line="276" w:lineRule="auto"/>
              <w:jc w:val="both"/>
              <w:rPr>
                <w:color w:val="000000"/>
                <w:sz w:val="20"/>
                <w:szCs w:val="20"/>
              </w:rPr>
            </w:pPr>
            <w:r>
              <w:rPr>
                <w:sz w:val="20"/>
                <w:szCs w:val="20"/>
              </w:rPr>
              <w:t xml:space="preserve">Council </w:t>
            </w:r>
            <w:hyperlink r:id="rId8" w:history="1">
              <w:r>
                <w:rPr>
                  <w:rStyle w:val="Hyperlink"/>
                  <w:sz w:val="20"/>
                  <w:szCs w:val="20"/>
                </w:rPr>
                <w:t>Press release</w:t>
              </w:r>
            </w:hyperlink>
            <w:r>
              <w:rPr>
                <w:color w:val="000000"/>
                <w:sz w:val="20"/>
                <w:szCs w:val="20"/>
              </w:rPr>
              <w:t xml:space="preserve"> </w:t>
            </w:r>
          </w:p>
          <w:p w:rsidR="005E3B95" w:rsidRDefault="005E3B95" w:rsidP="002549E1">
            <w:pPr>
              <w:pStyle w:val="Lijstalinea"/>
              <w:numPr>
                <w:ilvl w:val="0"/>
                <w:numId w:val="2"/>
              </w:numPr>
              <w:shd w:val="clear" w:color="auto" w:fill="FEFEFE"/>
              <w:spacing w:line="276" w:lineRule="auto"/>
              <w:jc w:val="both"/>
              <w:rPr>
                <w:color w:val="000000"/>
                <w:sz w:val="20"/>
                <w:szCs w:val="20"/>
              </w:rPr>
            </w:pPr>
            <w:r>
              <w:rPr>
                <w:color w:val="000000"/>
                <w:sz w:val="20"/>
                <w:szCs w:val="20"/>
              </w:rPr>
              <w:t xml:space="preserve">European </w:t>
            </w:r>
            <w:proofErr w:type="spellStart"/>
            <w:r>
              <w:rPr>
                <w:color w:val="000000"/>
                <w:sz w:val="20"/>
                <w:szCs w:val="20"/>
              </w:rPr>
              <w:t>Commission</w:t>
            </w:r>
            <w:proofErr w:type="spellEnd"/>
            <w:r>
              <w:rPr>
                <w:color w:val="000000"/>
                <w:sz w:val="20"/>
                <w:szCs w:val="20"/>
              </w:rPr>
              <w:t xml:space="preserve"> </w:t>
            </w:r>
            <w:hyperlink r:id="rId9" w:history="1">
              <w:proofErr w:type="spellStart"/>
              <w:r>
                <w:rPr>
                  <w:rStyle w:val="Hyperlink"/>
                  <w:sz w:val="20"/>
                  <w:szCs w:val="20"/>
                </w:rPr>
                <w:t>FAQs</w:t>
              </w:r>
              <w:proofErr w:type="spellEnd"/>
            </w:hyperlink>
          </w:p>
          <w:p w:rsidR="005E3B95" w:rsidRDefault="005E3B95">
            <w:pPr>
              <w:pStyle w:val="Lijstalinea"/>
              <w:shd w:val="clear" w:color="auto" w:fill="FEFEFE"/>
              <w:spacing w:line="276" w:lineRule="auto"/>
              <w:ind w:left="644"/>
              <w:jc w:val="both"/>
              <w:rPr>
                <w:color w:val="000000"/>
                <w:sz w:val="20"/>
                <w:szCs w:val="20"/>
              </w:rPr>
            </w:pPr>
          </w:p>
          <w:p w:rsidR="005E3B95" w:rsidRDefault="005E3B95" w:rsidP="002549E1">
            <w:pPr>
              <w:pStyle w:val="Lijstalinea"/>
              <w:numPr>
                <w:ilvl w:val="0"/>
                <w:numId w:val="1"/>
              </w:numPr>
              <w:spacing w:line="276" w:lineRule="auto"/>
              <w:rPr>
                <w:b/>
                <w:bCs/>
                <w:color w:val="000000"/>
                <w:sz w:val="20"/>
                <w:szCs w:val="20"/>
              </w:rPr>
            </w:pPr>
            <w:proofErr w:type="spellStart"/>
            <w:r>
              <w:rPr>
                <w:b/>
                <w:bCs/>
                <w:color w:val="000000"/>
                <w:sz w:val="20"/>
                <w:szCs w:val="20"/>
              </w:rPr>
              <w:t>Commission</w:t>
            </w:r>
            <w:proofErr w:type="spellEnd"/>
            <w:r>
              <w:rPr>
                <w:b/>
                <w:bCs/>
                <w:color w:val="000000"/>
                <w:sz w:val="20"/>
                <w:szCs w:val="20"/>
              </w:rPr>
              <w:t xml:space="preserve">: Spain must  </w:t>
            </w:r>
            <w:proofErr w:type="spellStart"/>
            <w:r>
              <w:rPr>
                <w:b/>
                <w:bCs/>
                <w:color w:val="000000"/>
                <w:sz w:val="20"/>
                <w:szCs w:val="20"/>
              </w:rPr>
              <w:t>recover</w:t>
            </w:r>
            <w:proofErr w:type="spellEnd"/>
            <w:r>
              <w:rPr>
                <w:b/>
                <w:bCs/>
                <w:color w:val="000000"/>
                <w:sz w:val="20"/>
                <w:szCs w:val="20"/>
              </w:rPr>
              <w:t xml:space="preserve"> </w:t>
            </w:r>
            <w:proofErr w:type="spellStart"/>
            <w:r>
              <w:rPr>
                <w:b/>
                <w:bCs/>
                <w:color w:val="000000"/>
                <w:sz w:val="20"/>
                <w:szCs w:val="20"/>
              </w:rPr>
              <w:t>aid</w:t>
            </w:r>
            <w:proofErr w:type="spellEnd"/>
            <w:r>
              <w:rPr>
                <w:b/>
                <w:bCs/>
                <w:color w:val="000000"/>
                <w:sz w:val="20"/>
                <w:szCs w:val="20"/>
              </w:rPr>
              <w:t xml:space="preserve"> </w:t>
            </w:r>
            <w:proofErr w:type="spellStart"/>
            <w:r>
              <w:rPr>
                <w:b/>
                <w:bCs/>
                <w:color w:val="000000"/>
                <w:sz w:val="20"/>
                <w:szCs w:val="20"/>
              </w:rPr>
              <w:t>through</w:t>
            </w:r>
            <w:proofErr w:type="spellEnd"/>
            <w:r>
              <w:rPr>
                <w:b/>
                <w:bCs/>
                <w:color w:val="000000"/>
                <w:sz w:val="20"/>
                <w:szCs w:val="20"/>
              </w:rPr>
              <w:t xml:space="preserve"> tax benefits </w:t>
            </w:r>
            <w:proofErr w:type="spellStart"/>
            <w:r>
              <w:rPr>
                <w:b/>
                <w:bCs/>
                <w:color w:val="000000"/>
                <w:sz w:val="20"/>
                <w:szCs w:val="20"/>
              </w:rPr>
              <w:t>for</w:t>
            </w:r>
            <w:proofErr w:type="spellEnd"/>
            <w:r>
              <w:rPr>
                <w:b/>
                <w:bCs/>
                <w:color w:val="000000"/>
                <w:sz w:val="20"/>
                <w:szCs w:val="20"/>
              </w:rPr>
              <w:t xml:space="preserve"> </w:t>
            </w:r>
            <w:proofErr w:type="spellStart"/>
            <w:r>
              <w:rPr>
                <w:b/>
                <w:bCs/>
                <w:color w:val="000000"/>
                <w:sz w:val="20"/>
                <w:szCs w:val="20"/>
              </w:rPr>
              <w:t>acquisitions</w:t>
            </w:r>
            <w:proofErr w:type="spellEnd"/>
            <w:r>
              <w:rPr>
                <w:b/>
                <w:bCs/>
                <w:color w:val="000000"/>
                <w:sz w:val="20"/>
                <w:szCs w:val="20"/>
              </w:rPr>
              <w:t xml:space="preserve"> of indirect shareholdings in </w:t>
            </w:r>
            <w:proofErr w:type="spellStart"/>
            <w:r>
              <w:rPr>
                <w:b/>
                <w:bCs/>
                <w:color w:val="000000"/>
                <w:sz w:val="20"/>
                <w:szCs w:val="20"/>
              </w:rPr>
              <w:t>foreign</w:t>
            </w:r>
            <w:proofErr w:type="spellEnd"/>
            <w:r>
              <w:rPr>
                <w:b/>
                <w:bCs/>
                <w:color w:val="000000"/>
                <w:sz w:val="20"/>
                <w:szCs w:val="20"/>
              </w:rPr>
              <w:t xml:space="preserve"> companies</w:t>
            </w:r>
          </w:p>
          <w:p w:rsidR="005E3B95" w:rsidRDefault="005E3B95">
            <w:pPr>
              <w:spacing w:line="276" w:lineRule="auto"/>
              <w:jc w:val="both"/>
              <w:rPr>
                <w:rFonts w:ascii="Calibri" w:hAnsi="Calibri"/>
                <w:sz w:val="20"/>
                <w:szCs w:val="20"/>
                <w:lang w:eastAsia="en-US"/>
              </w:rPr>
            </w:pPr>
          </w:p>
          <w:p w:rsidR="005E3B95" w:rsidRDefault="005E3B95">
            <w:pPr>
              <w:spacing w:line="276" w:lineRule="auto"/>
              <w:ind w:left="567" w:right="141"/>
              <w:rPr>
                <w:rFonts w:ascii="Calibri" w:hAnsi="Calibri"/>
                <w:sz w:val="20"/>
                <w:szCs w:val="20"/>
                <w:lang w:eastAsia="en-US"/>
              </w:rPr>
            </w:pPr>
            <w:r>
              <w:rPr>
                <w:rFonts w:ascii="Calibri" w:hAnsi="Calibri"/>
                <w:sz w:val="20"/>
                <w:szCs w:val="20"/>
                <w:lang w:eastAsia="en-US"/>
              </w:rPr>
              <w:t xml:space="preserve">On 15 </w:t>
            </w:r>
            <w:proofErr w:type="spellStart"/>
            <w:r>
              <w:rPr>
                <w:rFonts w:ascii="Calibri" w:hAnsi="Calibri"/>
                <w:sz w:val="20"/>
                <w:szCs w:val="20"/>
                <w:lang w:eastAsia="en-US"/>
              </w:rPr>
              <w:t>October</w:t>
            </w:r>
            <w:proofErr w:type="spellEnd"/>
            <w:r>
              <w:rPr>
                <w:rFonts w:ascii="Calibri" w:hAnsi="Calibri"/>
                <w:sz w:val="20"/>
                <w:szCs w:val="20"/>
                <w:lang w:eastAsia="en-US"/>
              </w:rPr>
              <w:t xml:space="preserve"> 2014, the European </w:t>
            </w:r>
            <w:proofErr w:type="spellStart"/>
            <w:r>
              <w:rPr>
                <w:rFonts w:ascii="Calibri" w:hAnsi="Calibri"/>
                <w:sz w:val="20"/>
                <w:szCs w:val="20"/>
                <w:lang w:eastAsia="en-US"/>
              </w:rPr>
              <w:t>Commission</w:t>
            </w:r>
            <w:proofErr w:type="spellEnd"/>
            <w:r>
              <w:rPr>
                <w:rFonts w:ascii="Calibri" w:hAnsi="Calibri"/>
                <w:sz w:val="20"/>
                <w:szCs w:val="20"/>
                <w:lang w:eastAsia="en-US"/>
              </w:rPr>
              <w:t xml:space="preserve"> </w:t>
            </w:r>
            <w:proofErr w:type="spellStart"/>
            <w:r>
              <w:rPr>
                <w:rFonts w:ascii="Calibri" w:hAnsi="Calibri"/>
                <w:sz w:val="20"/>
                <w:szCs w:val="20"/>
                <w:lang w:eastAsia="en-US"/>
              </w:rPr>
              <w:t>concluded</w:t>
            </w:r>
            <w:proofErr w:type="spellEnd"/>
            <w:r>
              <w:rPr>
                <w:rFonts w:ascii="Calibri" w:hAnsi="Calibri"/>
                <w:sz w:val="20"/>
                <w:szCs w:val="20"/>
                <w:lang w:eastAsia="en-US"/>
              </w:rPr>
              <w:t xml:space="preserve"> </w:t>
            </w:r>
            <w:proofErr w:type="spellStart"/>
            <w:r>
              <w:rPr>
                <w:rFonts w:ascii="Calibri" w:hAnsi="Calibri"/>
                <w:sz w:val="20"/>
                <w:szCs w:val="20"/>
                <w:lang w:eastAsia="en-US"/>
              </w:rPr>
              <w:t>that</w:t>
            </w:r>
            <w:proofErr w:type="spellEnd"/>
            <w:r>
              <w:rPr>
                <w:rFonts w:ascii="Calibri" w:hAnsi="Calibri"/>
                <w:sz w:val="20"/>
                <w:szCs w:val="20"/>
                <w:lang w:eastAsia="en-US"/>
              </w:rPr>
              <w:t xml:space="preserve"> tax benefits </w:t>
            </w:r>
            <w:proofErr w:type="spellStart"/>
            <w:r>
              <w:rPr>
                <w:rFonts w:ascii="Calibri" w:hAnsi="Calibri"/>
                <w:sz w:val="20"/>
                <w:szCs w:val="20"/>
                <w:lang w:eastAsia="en-US"/>
              </w:rPr>
              <w:t>for</w:t>
            </w:r>
            <w:proofErr w:type="spellEnd"/>
            <w:r>
              <w:rPr>
                <w:rFonts w:ascii="Calibri" w:hAnsi="Calibri"/>
                <w:sz w:val="20"/>
                <w:szCs w:val="20"/>
                <w:lang w:eastAsia="en-US"/>
              </w:rPr>
              <w:t xml:space="preserve"> </w:t>
            </w:r>
            <w:proofErr w:type="spellStart"/>
            <w:r>
              <w:rPr>
                <w:rFonts w:ascii="Calibri" w:hAnsi="Calibri"/>
                <w:sz w:val="20"/>
                <w:szCs w:val="20"/>
                <w:lang w:eastAsia="en-US"/>
              </w:rPr>
              <w:t>acquisitions</w:t>
            </w:r>
            <w:proofErr w:type="spellEnd"/>
            <w:r>
              <w:rPr>
                <w:rFonts w:ascii="Calibri" w:hAnsi="Calibri"/>
                <w:sz w:val="20"/>
                <w:szCs w:val="20"/>
                <w:lang w:eastAsia="en-US"/>
              </w:rPr>
              <w:t xml:space="preserve"> of indirect shareholdings in </w:t>
            </w:r>
            <w:proofErr w:type="spellStart"/>
            <w:r>
              <w:rPr>
                <w:rFonts w:ascii="Calibri" w:hAnsi="Calibri"/>
                <w:sz w:val="20"/>
                <w:szCs w:val="20"/>
                <w:lang w:eastAsia="en-US"/>
              </w:rPr>
              <w:t>foreign</w:t>
            </w:r>
            <w:proofErr w:type="spellEnd"/>
            <w:r>
              <w:rPr>
                <w:rFonts w:ascii="Calibri" w:hAnsi="Calibri"/>
                <w:sz w:val="20"/>
                <w:szCs w:val="20"/>
                <w:lang w:eastAsia="en-US"/>
              </w:rPr>
              <w:t xml:space="preserve"> companies was state </w:t>
            </w:r>
            <w:proofErr w:type="spellStart"/>
            <w:r>
              <w:rPr>
                <w:rFonts w:ascii="Calibri" w:hAnsi="Calibri"/>
                <w:sz w:val="20"/>
                <w:szCs w:val="20"/>
                <w:lang w:eastAsia="en-US"/>
              </w:rPr>
              <w:t>aid</w:t>
            </w:r>
            <w:proofErr w:type="spellEnd"/>
            <w:r>
              <w:rPr>
                <w:rFonts w:ascii="Calibri" w:hAnsi="Calibri"/>
                <w:sz w:val="20"/>
                <w:szCs w:val="20"/>
                <w:lang w:eastAsia="en-US"/>
              </w:rPr>
              <w:t xml:space="preserve"> </w:t>
            </w:r>
            <w:proofErr w:type="spellStart"/>
            <w:r>
              <w:rPr>
                <w:rFonts w:ascii="Calibri" w:hAnsi="Calibri"/>
                <w:sz w:val="20"/>
                <w:szCs w:val="20"/>
                <w:lang w:eastAsia="en-US"/>
              </w:rPr>
              <w:t>incompatible</w:t>
            </w:r>
            <w:proofErr w:type="spellEnd"/>
            <w:r>
              <w:rPr>
                <w:rFonts w:ascii="Calibri" w:hAnsi="Calibri"/>
                <w:sz w:val="20"/>
                <w:szCs w:val="20"/>
                <w:lang w:eastAsia="en-US"/>
              </w:rPr>
              <w:t xml:space="preserve"> </w:t>
            </w:r>
            <w:proofErr w:type="spellStart"/>
            <w:r>
              <w:rPr>
                <w:rFonts w:ascii="Calibri" w:hAnsi="Calibri"/>
                <w:sz w:val="20"/>
                <w:szCs w:val="20"/>
                <w:lang w:eastAsia="en-US"/>
              </w:rPr>
              <w:t>with</w:t>
            </w:r>
            <w:proofErr w:type="spellEnd"/>
            <w:r>
              <w:rPr>
                <w:rFonts w:ascii="Calibri" w:hAnsi="Calibri"/>
                <w:sz w:val="20"/>
                <w:szCs w:val="20"/>
                <w:lang w:eastAsia="en-US"/>
              </w:rPr>
              <w:t xml:space="preserve"> EU </w:t>
            </w:r>
            <w:proofErr w:type="spellStart"/>
            <w:r>
              <w:rPr>
                <w:rFonts w:ascii="Calibri" w:hAnsi="Calibri"/>
                <w:sz w:val="20"/>
                <w:szCs w:val="20"/>
                <w:lang w:eastAsia="en-US"/>
              </w:rPr>
              <w:t>rules</w:t>
            </w:r>
            <w:proofErr w:type="spellEnd"/>
            <w:r>
              <w:rPr>
                <w:rFonts w:ascii="Calibri" w:hAnsi="Calibri"/>
                <w:sz w:val="20"/>
                <w:szCs w:val="20"/>
                <w:lang w:eastAsia="en-US"/>
              </w:rPr>
              <w:t xml:space="preserve"> </w:t>
            </w:r>
            <w:proofErr w:type="spellStart"/>
            <w:r>
              <w:rPr>
                <w:rFonts w:ascii="Calibri" w:hAnsi="Calibri"/>
                <w:sz w:val="20"/>
                <w:szCs w:val="20"/>
                <w:lang w:eastAsia="en-US"/>
              </w:rPr>
              <w:t>and</w:t>
            </w:r>
            <w:proofErr w:type="spellEnd"/>
            <w:r>
              <w:rPr>
                <w:rFonts w:ascii="Calibri" w:hAnsi="Calibri"/>
                <w:sz w:val="20"/>
                <w:szCs w:val="20"/>
                <w:lang w:eastAsia="en-US"/>
              </w:rPr>
              <w:t xml:space="preserve"> has </w:t>
            </w:r>
            <w:proofErr w:type="spellStart"/>
            <w:r>
              <w:rPr>
                <w:rFonts w:ascii="Calibri" w:hAnsi="Calibri"/>
                <w:sz w:val="20"/>
                <w:szCs w:val="20"/>
                <w:lang w:eastAsia="en-US"/>
              </w:rPr>
              <w:t>ordered</w:t>
            </w:r>
            <w:proofErr w:type="spellEnd"/>
            <w:r>
              <w:rPr>
                <w:rFonts w:ascii="Calibri" w:hAnsi="Calibri"/>
                <w:sz w:val="20"/>
                <w:szCs w:val="20"/>
                <w:lang w:eastAsia="en-US"/>
              </w:rPr>
              <w:t xml:space="preserve"> Spain </w:t>
            </w:r>
            <w:proofErr w:type="spellStart"/>
            <w:r>
              <w:rPr>
                <w:rFonts w:ascii="Calibri" w:hAnsi="Calibri"/>
                <w:sz w:val="20"/>
                <w:szCs w:val="20"/>
                <w:lang w:eastAsia="en-US"/>
              </w:rPr>
              <w:t>to</w:t>
            </w:r>
            <w:proofErr w:type="spellEnd"/>
            <w:r>
              <w:rPr>
                <w:rFonts w:ascii="Calibri" w:hAnsi="Calibri"/>
                <w:sz w:val="20"/>
                <w:szCs w:val="20"/>
                <w:lang w:eastAsia="en-US"/>
              </w:rPr>
              <w:t xml:space="preserve"> claim back these aids. The case concerns a new </w:t>
            </w:r>
            <w:proofErr w:type="spellStart"/>
            <w:r>
              <w:rPr>
                <w:rFonts w:ascii="Calibri" w:hAnsi="Calibri"/>
                <w:sz w:val="20"/>
                <w:szCs w:val="20"/>
                <w:lang w:eastAsia="en-US"/>
              </w:rPr>
              <w:t>interpretation</w:t>
            </w:r>
            <w:proofErr w:type="spellEnd"/>
            <w:r>
              <w:rPr>
                <w:rFonts w:ascii="Calibri" w:hAnsi="Calibri"/>
                <w:sz w:val="20"/>
                <w:szCs w:val="20"/>
                <w:lang w:eastAsia="en-US"/>
              </w:rPr>
              <w:t xml:space="preserve"> of the Spanish </w:t>
            </w:r>
            <w:proofErr w:type="spellStart"/>
            <w:r>
              <w:rPr>
                <w:rFonts w:ascii="Calibri" w:hAnsi="Calibri"/>
                <w:sz w:val="20"/>
                <w:szCs w:val="20"/>
                <w:lang w:eastAsia="en-US"/>
              </w:rPr>
              <w:t>scheme</w:t>
            </w:r>
            <w:proofErr w:type="spellEnd"/>
            <w:r>
              <w:rPr>
                <w:rFonts w:ascii="Calibri" w:hAnsi="Calibri"/>
                <w:sz w:val="20"/>
                <w:szCs w:val="20"/>
                <w:lang w:eastAsia="en-US"/>
              </w:rPr>
              <w:t xml:space="preserve">, </w:t>
            </w:r>
            <w:proofErr w:type="spellStart"/>
            <w:r>
              <w:rPr>
                <w:rFonts w:ascii="Calibri" w:hAnsi="Calibri"/>
                <w:sz w:val="20"/>
                <w:szCs w:val="20"/>
                <w:lang w:eastAsia="en-US"/>
              </w:rPr>
              <w:t>allowing</w:t>
            </w:r>
            <w:proofErr w:type="spellEnd"/>
            <w:r>
              <w:rPr>
                <w:rFonts w:ascii="Calibri" w:hAnsi="Calibri"/>
                <w:sz w:val="20"/>
                <w:szCs w:val="20"/>
                <w:lang w:eastAsia="en-US"/>
              </w:rPr>
              <w:t xml:space="preserve"> companies </w:t>
            </w:r>
            <w:proofErr w:type="spellStart"/>
            <w:r>
              <w:rPr>
                <w:rFonts w:ascii="Calibri" w:hAnsi="Calibri"/>
                <w:sz w:val="20"/>
                <w:szCs w:val="20"/>
                <w:lang w:eastAsia="en-US"/>
              </w:rPr>
              <w:t>to</w:t>
            </w:r>
            <w:proofErr w:type="spellEnd"/>
            <w:r>
              <w:rPr>
                <w:rFonts w:ascii="Calibri" w:hAnsi="Calibri"/>
                <w:sz w:val="20"/>
                <w:szCs w:val="20"/>
                <w:lang w:eastAsia="en-US"/>
              </w:rPr>
              <w:t xml:space="preserve"> </w:t>
            </w:r>
            <w:proofErr w:type="spellStart"/>
            <w:r>
              <w:rPr>
                <w:rFonts w:ascii="Calibri" w:hAnsi="Calibri"/>
                <w:sz w:val="20"/>
                <w:szCs w:val="20"/>
                <w:lang w:eastAsia="en-US"/>
              </w:rPr>
              <w:t>deduct</w:t>
            </w:r>
            <w:proofErr w:type="spellEnd"/>
            <w:r>
              <w:rPr>
                <w:rFonts w:ascii="Calibri" w:hAnsi="Calibri"/>
                <w:sz w:val="20"/>
                <w:szCs w:val="20"/>
                <w:lang w:eastAsia="en-US"/>
              </w:rPr>
              <w:t xml:space="preserve"> </w:t>
            </w:r>
            <w:proofErr w:type="spellStart"/>
            <w:r>
              <w:rPr>
                <w:rFonts w:ascii="Calibri" w:hAnsi="Calibri"/>
                <w:sz w:val="20"/>
                <w:szCs w:val="20"/>
                <w:lang w:eastAsia="en-US"/>
              </w:rPr>
              <w:t>from</w:t>
            </w:r>
            <w:proofErr w:type="spellEnd"/>
            <w:r>
              <w:rPr>
                <w:rFonts w:ascii="Calibri" w:hAnsi="Calibri"/>
                <w:sz w:val="20"/>
                <w:szCs w:val="20"/>
                <w:lang w:eastAsia="en-US"/>
              </w:rPr>
              <w:t xml:space="preserve"> </w:t>
            </w:r>
            <w:proofErr w:type="spellStart"/>
            <w:r>
              <w:rPr>
                <w:rFonts w:ascii="Calibri" w:hAnsi="Calibri"/>
                <w:sz w:val="20"/>
                <w:szCs w:val="20"/>
                <w:lang w:eastAsia="en-US"/>
              </w:rPr>
              <w:t>their</w:t>
            </w:r>
            <w:proofErr w:type="spellEnd"/>
            <w:r>
              <w:rPr>
                <w:rFonts w:ascii="Calibri" w:hAnsi="Calibri"/>
                <w:sz w:val="20"/>
                <w:szCs w:val="20"/>
                <w:lang w:eastAsia="en-US"/>
              </w:rPr>
              <w:t xml:space="preserve"> corporate tax base the "financial goodwill" </w:t>
            </w:r>
            <w:proofErr w:type="spellStart"/>
            <w:r>
              <w:rPr>
                <w:rFonts w:ascii="Calibri" w:hAnsi="Calibri"/>
                <w:sz w:val="20"/>
                <w:szCs w:val="20"/>
                <w:lang w:eastAsia="en-US"/>
              </w:rPr>
              <w:t>arising</w:t>
            </w:r>
            <w:proofErr w:type="spellEnd"/>
            <w:r>
              <w:rPr>
                <w:rFonts w:ascii="Calibri" w:hAnsi="Calibri"/>
                <w:sz w:val="20"/>
                <w:szCs w:val="20"/>
                <w:lang w:eastAsia="en-US"/>
              </w:rPr>
              <w:t xml:space="preserve"> </w:t>
            </w:r>
            <w:proofErr w:type="spellStart"/>
            <w:r>
              <w:rPr>
                <w:rFonts w:ascii="Calibri" w:hAnsi="Calibri"/>
                <w:sz w:val="20"/>
                <w:szCs w:val="20"/>
                <w:lang w:eastAsia="en-US"/>
              </w:rPr>
              <w:t>from</w:t>
            </w:r>
            <w:proofErr w:type="spellEnd"/>
            <w:r>
              <w:rPr>
                <w:rFonts w:ascii="Calibri" w:hAnsi="Calibri"/>
                <w:sz w:val="20"/>
                <w:szCs w:val="20"/>
                <w:lang w:eastAsia="en-US"/>
              </w:rPr>
              <w:t xml:space="preserve"> the </w:t>
            </w:r>
            <w:proofErr w:type="spellStart"/>
            <w:r>
              <w:rPr>
                <w:rFonts w:ascii="Calibri" w:hAnsi="Calibri"/>
                <w:sz w:val="20"/>
                <w:szCs w:val="20"/>
                <w:lang w:eastAsia="en-US"/>
              </w:rPr>
              <w:t>acquisition</w:t>
            </w:r>
            <w:proofErr w:type="spellEnd"/>
            <w:r>
              <w:rPr>
                <w:rFonts w:ascii="Calibri" w:hAnsi="Calibri"/>
                <w:sz w:val="20"/>
                <w:szCs w:val="20"/>
                <w:lang w:eastAsia="en-US"/>
              </w:rPr>
              <w:t xml:space="preserve"> of indirect shareholdings in </w:t>
            </w:r>
            <w:proofErr w:type="spellStart"/>
            <w:r>
              <w:rPr>
                <w:rFonts w:ascii="Calibri" w:hAnsi="Calibri"/>
                <w:sz w:val="20"/>
                <w:szCs w:val="20"/>
                <w:lang w:eastAsia="en-US"/>
              </w:rPr>
              <w:t>foreign</w:t>
            </w:r>
            <w:proofErr w:type="spellEnd"/>
            <w:r>
              <w:rPr>
                <w:rFonts w:ascii="Calibri" w:hAnsi="Calibri"/>
                <w:sz w:val="20"/>
                <w:szCs w:val="20"/>
                <w:lang w:eastAsia="en-US"/>
              </w:rPr>
              <w:t xml:space="preserve"> companies. The </w:t>
            </w:r>
            <w:proofErr w:type="spellStart"/>
            <w:r>
              <w:rPr>
                <w:rFonts w:ascii="Calibri" w:hAnsi="Calibri"/>
                <w:sz w:val="20"/>
                <w:szCs w:val="20"/>
                <w:lang w:eastAsia="en-US"/>
              </w:rPr>
              <w:t>Commission</w:t>
            </w:r>
            <w:proofErr w:type="spellEnd"/>
            <w:r>
              <w:rPr>
                <w:rFonts w:ascii="Calibri" w:hAnsi="Calibri"/>
                <w:sz w:val="20"/>
                <w:szCs w:val="20"/>
                <w:lang w:eastAsia="en-US"/>
              </w:rPr>
              <w:t xml:space="preserve"> has found </w:t>
            </w:r>
            <w:proofErr w:type="spellStart"/>
            <w:r>
              <w:rPr>
                <w:rFonts w:ascii="Calibri" w:hAnsi="Calibri"/>
                <w:sz w:val="20"/>
                <w:szCs w:val="20"/>
                <w:lang w:eastAsia="en-US"/>
              </w:rPr>
              <w:t>that</w:t>
            </w:r>
            <w:proofErr w:type="spellEnd"/>
            <w:r>
              <w:rPr>
                <w:rFonts w:ascii="Calibri" w:hAnsi="Calibri"/>
                <w:sz w:val="20"/>
                <w:szCs w:val="20"/>
                <w:lang w:eastAsia="en-US"/>
              </w:rPr>
              <w:t xml:space="preserve"> the </w:t>
            </w:r>
            <w:proofErr w:type="spellStart"/>
            <w:r>
              <w:rPr>
                <w:rFonts w:ascii="Calibri" w:hAnsi="Calibri"/>
                <w:sz w:val="20"/>
                <w:szCs w:val="20"/>
                <w:lang w:eastAsia="en-US"/>
              </w:rPr>
              <w:t>measure</w:t>
            </w:r>
            <w:proofErr w:type="spellEnd"/>
            <w:r>
              <w:rPr>
                <w:rFonts w:ascii="Calibri" w:hAnsi="Calibri"/>
                <w:sz w:val="20"/>
                <w:szCs w:val="20"/>
                <w:lang w:eastAsia="en-US"/>
              </w:rPr>
              <w:t xml:space="preserve"> </w:t>
            </w:r>
            <w:proofErr w:type="spellStart"/>
            <w:r>
              <w:rPr>
                <w:rFonts w:ascii="Calibri" w:hAnsi="Calibri"/>
                <w:sz w:val="20"/>
                <w:szCs w:val="20"/>
                <w:lang w:eastAsia="en-US"/>
              </w:rPr>
              <w:t>provided</w:t>
            </w:r>
            <w:proofErr w:type="spellEnd"/>
            <w:r>
              <w:rPr>
                <w:rFonts w:ascii="Calibri" w:hAnsi="Calibri"/>
                <w:sz w:val="20"/>
                <w:szCs w:val="20"/>
                <w:lang w:eastAsia="en-US"/>
              </w:rPr>
              <w:t xml:space="preserve"> the </w:t>
            </w:r>
            <w:proofErr w:type="spellStart"/>
            <w:r>
              <w:rPr>
                <w:rFonts w:ascii="Calibri" w:hAnsi="Calibri"/>
                <w:sz w:val="20"/>
                <w:szCs w:val="20"/>
                <w:lang w:eastAsia="en-US"/>
              </w:rPr>
              <w:t>beneficiaries</w:t>
            </w:r>
            <w:proofErr w:type="spellEnd"/>
            <w:r>
              <w:rPr>
                <w:rFonts w:ascii="Calibri" w:hAnsi="Calibri"/>
                <w:sz w:val="20"/>
                <w:szCs w:val="20"/>
                <w:lang w:eastAsia="en-US"/>
              </w:rPr>
              <w:t xml:space="preserve"> </w:t>
            </w:r>
            <w:proofErr w:type="spellStart"/>
            <w:r>
              <w:rPr>
                <w:rFonts w:ascii="Calibri" w:hAnsi="Calibri"/>
                <w:sz w:val="20"/>
                <w:szCs w:val="20"/>
                <w:lang w:eastAsia="en-US"/>
              </w:rPr>
              <w:t>with</w:t>
            </w:r>
            <w:proofErr w:type="spellEnd"/>
            <w:r>
              <w:rPr>
                <w:rFonts w:ascii="Calibri" w:hAnsi="Calibri"/>
                <w:sz w:val="20"/>
                <w:szCs w:val="20"/>
                <w:lang w:eastAsia="en-US"/>
              </w:rPr>
              <w:t xml:space="preserve"> a </w:t>
            </w:r>
            <w:proofErr w:type="spellStart"/>
            <w:r>
              <w:rPr>
                <w:rFonts w:ascii="Calibri" w:hAnsi="Calibri"/>
                <w:sz w:val="20"/>
                <w:szCs w:val="20"/>
                <w:lang w:eastAsia="en-US"/>
              </w:rPr>
              <w:t>selective</w:t>
            </w:r>
            <w:proofErr w:type="spellEnd"/>
            <w:r>
              <w:rPr>
                <w:rFonts w:ascii="Calibri" w:hAnsi="Calibri"/>
                <w:sz w:val="20"/>
                <w:szCs w:val="20"/>
                <w:lang w:eastAsia="en-US"/>
              </w:rPr>
              <w:t xml:space="preserve"> </w:t>
            </w:r>
            <w:proofErr w:type="spellStart"/>
            <w:r>
              <w:rPr>
                <w:rFonts w:ascii="Calibri" w:hAnsi="Calibri"/>
                <w:sz w:val="20"/>
                <w:szCs w:val="20"/>
                <w:lang w:eastAsia="en-US"/>
              </w:rPr>
              <w:t>economic</w:t>
            </w:r>
            <w:proofErr w:type="spellEnd"/>
            <w:r>
              <w:rPr>
                <w:rFonts w:ascii="Calibri" w:hAnsi="Calibri"/>
                <w:sz w:val="20"/>
                <w:szCs w:val="20"/>
                <w:lang w:eastAsia="en-US"/>
              </w:rPr>
              <w:t xml:space="preserve"> advantage; Spain has </w:t>
            </w:r>
            <w:proofErr w:type="spellStart"/>
            <w:r>
              <w:rPr>
                <w:rFonts w:ascii="Calibri" w:hAnsi="Calibri"/>
                <w:sz w:val="20"/>
                <w:szCs w:val="20"/>
                <w:lang w:eastAsia="en-US"/>
              </w:rPr>
              <w:t>failed</w:t>
            </w:r>
            <w:proofErr w:type="spellEnd"/>
            <w:r>
              <w:rPr>
                <w:rFonts w:ascii="Calibri" w:hAnsi="Calibri"/>
                <w:sz w:val="20"/>
                <w:szCs w:val="20"/>
                <w:lang w:eastAsia="en-US"/>
              </w:rPr>
              <w:t xml:space="preserve"> </w:t>
            </w:r>
            <w:proofErr w:type="spellStart"/>
            <w:r>
              <w:rPr>
                <w:rFonts w:ascii="Calibri" w:hAnsi="Calibri"/>
                <w:sz w:val="20"/>
                <w:szCs w:val="20"/>
                <w:lang w:eastAsia="en-US"/>
              </w:rPr>
              <w:t>to</w:t>
            </w:r>
            <w:proofErr w:type="spellEnd"/>
            <w:r>
              <w:rPr>
                <w:rFonts w:ascii="Calibri" w:hAnsi="Calibri"/>
                <w:sz w:val="20"/>
                <w:szCs w:val="20"/>
                <w:lang w:eastAsia="en-US"/>
              </w:rPr>
              <w:t xml:space="preserve"> </w:t>
            </w:r>
            <w:proofErr w:type="spellStart"/>
            <w:r>
              <w:rPr>
                <w:rFonts w:ascii="Calibri" w:hAnsi="Calibri"/>
                <w:sz w:val="20"/>
                <w:szCs w:val="20"/>
                <w:lang w:eastAsia="en-US"/>
              </w:rPr>
              <w:t>notify</w:t>
            </w:r>
            <w:proofErr w:type="spellEnd"/>
            <w:r>
              <w:rPr>
                <w:rFonts w:ascii="Calibri" w:hAnsi="Calibri"/>
                <w:sz w:val="20"/>
                <w:szCs w:val="20"/>
                <w:lang w:eastAsia="en-US"/>
              </w:rPr>
              <w:t xml:space="preserve"> the </w:t>
            </w:r>
            <w:proofErr w:type="spellStart"/>
            <w:r>
              <w:rPr>
                <w:rFonts w:ascii="Calibri" w:hAnsi="Calibri"/>
                <w:sz w:val="20"/>
                <w:szCs w:val="20"/>
                <w:lang w:eastAsia="en-US"/>
              </w:rPr>
              <w:t>Commission</w:t>
            </w:r>
            <w:proofErr w:type="spellEnd"/>
            <w:r>
              <w:rPr>
                <w:rFonts w:ascii="Calibri" w:hAnsi="Calibri"/>
                <w:sz w:val="20"/>
                <w:szCs w:val="20"/>
                <w:lang w:eastAsia="en-US"/>
              </w:rPr>
              <w:t xml:space="preserve"> of </w:t>
            </w:r>
            <w:proofErr w:type="spellStart"/>
            <w:r>
              <w:rPr>
                <w:rFonts w:ascii="Calibri" w:hAnsi="Calibri"/>
                <w:sz w:val="20"/>
                <w:szCs w:val="20"/>
                <w:lang w:eastAsia="en-US"/>
              </w:rPr>
              <w:t>this</w:t>
            </w:r>
            <w:proofErr w:type="spellEnd"/>
            <w:r>
              <w:rPr>
                <w:rFonts w:ascii="Calibri" w:hAnsi="Calibri"/>
                <w:sz w:val="20"/>
                <w:szCs w:val="20"/>
                <w:lang w:eastAsia="en-US"/>
              </w:rPr>
              <w:t xml:space="preserve"> new </w:t>
            </w:r>
            <w:proofErr w:type="spellStart"/>
            <w:r>
              <w:rPr>
                <w:rFonts w:ascii="Calibri" w:hAnsi="Calibri"/>
                <w:sz w:val="20"/>
                <w:szCs w:val="20"/>
                <w:lang w:eastAsia="en-US"/>
              </w:rPr>
              <w:t>interpretation</w:t>
            </w:r>
            <w:proofErr w:type="spellEnd"/>
            <w:r>
              <w:rPr>
                <w:rFonts w:ascii="Calibri" w:hAnsi="Calibri"/>
                <w:sz w:val="20"/>
                <w:szCs w:val="20"/>
                <w:lang w:eastAsia="en-US"/>
              </w:rPr>
              <w:t xml:space="preserve"> </w:t>
            </w:r>
            <w:proofErr w:type="spellStart"/>
            <w:r>
              <w:rPr>
                <w:rFonts w:ascii="Calibri" w:hAnsi="Calibri"/>
                <w:sz w:val="20"/>
                <w:szCs w:val="20"/>
                <w:lang w:eastAsia="en-US"/>
              </w:rPr>
              <w:t>which</w:t>
            </w:r>
            <w:proofErr w:type="spellEnd"/>
            <w:r>
              <w:rPr>
                <w:rFonts w:ascii="Calibri" w:hAnsi="Calibri"/>
                <w:sz w:val="20"/>
                <w:szCs w:val="20"/>
                <w:lang w:eastAsia="en-US"/>
              </w:rPr>
              <w:t xml:space="preserve"> is </w:t>
            </w:r>
            <w:proofErr w:type="spellStart"/>
            <w:r>
              <w:rPr>
                <w:rFonts w:ascii="Calibri" w:hAnsi="Calibri"/>
                <w:sz w:val="20"/>
                <w:szCs w:val="20"/>
                <w:lang w:eastAsia="en-US"/>
              </w:rPr>
              <w:t>an</w:t>
            </w:r>
            <w:proofErr w:type="spellEnd"/>
            <w:r>
              <w:rPr>
                <w:rFonts w:ascii="Calibri" w:hAnsi="Calibri"/>
                <w:sz w:val="20"/>
                <w:szCs w:val="20"/>
                <w:lang w:eastAsia="en-US"/>
              </w:rPr>
              <w:t xml:space="preserve"> extension of the </w:t>
            </w:r>
            <w:proofErr w:type="spellStart"/>
            <w:r>
              <w:rPr>
                <w:rFonts w:ascii="Calibri" w:hAnsi="Calibri"/>
                <w:sz w:val="20"/>
                <w:szCs w:val="20"/>
                <w:lang w:eastAsia="en-US"/>
              </w:rPr>
              <w:t>previous</w:t>
            </w:r>
            <w:proofErr w:type="spellEnd"/>
            <w:r>
              <w:rPr>
                <w:rFonts w:ascii="Calibri" w:hAnsi="Calibri"/>
                <w:sz w:val="20"/>
                <w:szCs w:val="20"/>
                <w:lang w:eastAsia="en-US"/>
              </w:rPr>
              <w:t xml:space="preserve"> </w:t>
            </w:r>
            <w:proofErr w:type="spellStart"/>
            <w:r>
              <w:rPr>
                <w:rFonts w:ascii="Calibri" w:hAnsi="Calibri"/>
                <w:sz w:val="20"/>
                <w:szCs w:val="20"/>
                <w:lang w:eastAsia="en-US"/>
              </w:rPr>
              <w:t>practice</w:t>
            </w:r>
            <w:proofErr w:type="spellEnd"/>
            <w:r>
              <w:rPr>
                <w:rFonts w:ascii="Calibri" w:hAnsi="Calibri"/>
                <w:sz w:val="20"/>
                <w:szCs w:val="20"/>
                <w:lang w:eastAsia="en-US"/>
              </w:rPr>
              <w:t xml:space="preserve"> </w:t>
            </w:r>
            <w:proofErr w:type="spellStart"/>
            <w:r>
              <w:rPr>
                <w:rFonts w:ascii="Calibri" w:hAnsi="Calibri"/>
                <w:sz w:val="20"/>
                <w:szCs w:val="20"/>
                <w:lang w:eastAsia="en-US"/>
              </w:rPr>
              <w:t>which</w:t>
            </w:r>
            <w:proofErr w:type="spellEnd"/>
            <w:r>
              <w:rPr>
                <w:rFonts w:ascii="Calibri" w:hAnsi="Calibri"/>
                <w:sz w:val="20"/>
                <w:szCs w:val="20"/>
                <w:lang w:eastAsia="en-US"/>
              </w:rPr>
              <w:t xml:space="preserve"> </w:t>
            </w:r>
            <w:proofErr w:type="spellStart"/>
            <w:r>
              <w:rPr>
                <w:rFonts w:ascii="Calibri" w:hAnsi="Calibri"/>
                <w:sz w:val="20"/>
                <w:szCs w:val="20"/>
                <w:lang w:eastAsia="en-US"/>
              </w:rPr>
              <w:t>applied</w:t>
            </w:r>
            <w:proofErr w:type="spellEnd"/>
            <w:r>
              <w:rPr>
                <w:rFonts w:ascii="Calibri" w:hAnsi="Calibri"/>
                <w:sz w:val="20"/>
                <w:szCs w:val="20"/>
                <w:lang w:eastAsia="en-US"/>
              </w:rPr>
              <w:t xml:space="preserve"> </w:t>
            </w:r>
            <w:proofErr w:type="spellStart"/>
            <w:r>
              <w:rPr>
                <w:rFonts w:ascii="Calibri" w:hAnsi="Calibri"/>
                <w:sz w:val="20"/>
                <w:szCs w:val="20"/>
                <w:lang w:eastAsia="en-US"/>
              </w:rPr>
              <w:t>only</w:t>
            </w:r>
            <w:proofErr w:type="spellEnd"/>
            <w:r>
              <w:rPr>
                <w:rFonts w:ascii="Calibri" w:hAnsi="Calibri"/>
                <w:sz w:val="20"/>
                <w:szCs w:val="20"/>
                <w:lang w:eastAsia="en-US"/>
              </w:rPr>
              <w:t xml:space="preserve"> </w:t>
            </w:r>
            <w:proofErr w:type="spellStart"/>
            <w:r>
              <w:rPr>
                <w:rFonts w:ascii="Calibri" w:hAnsi="Calibri"/>
                <w:sz w:val="20"/>
                <w:szCs w:val="20"/>
                <w:lang w:eastAsia="en-US"/>
              </w:rPr>
              <w:t>to</w:t>
            </w:r>
            <w:proofErr w:type="spellEnd"/>
            <w:r>
              <w:rPr>
                <w:rFonts w:ascii="Calibri" w:hAnsi="Calibri"/>
                <w:sz w:val="20"/>
                <w:szCs w:val="20"/>
                <w:lang w:eastAsia="en-US"/>
              </w:rPr>
              <w:t xml:space="preserve"> direct shareholdings </w:t>
            </w:r>
            <w:proofErr w:type="spellStart"/>
            <w:r>
              <w:rPr>
                <w:rFonts w:ascii="Calibri" w:hAnsi="Calibri"/>
                <w:sz w:val="20"/>
                <w:szCs w:val="20"/>
                <w:lang w:eastAsia="en-US"/>
              </w:rPr>
              <w:t>and</w:t>
            </w:r>
            <w:proofErr w:type="spellEnd"/>
            <w:r>
              <w:rPr>
                <w:rFonts w:ascii="Calibri" w:hAnsi="Calibri"/>
                <w:sz w:val="20"/>
                <w:szCs w:val="20"/>
                <w:lang w:eastAsia="en-US"/>
              </w:rPr>
              <w:t xml:space="preserve"> </w:t>
            </w:r>
            <w:proofErr w:type="spellStart"/>
            <w:r>
              <w:rPr>
                <w:rFonts w:ascii="Calibri" w:hAnsi="Calibri"/>
                <w:sz w:val="20"/>
                <w:szCs w:val="20"/>
                <w:lang w:eastAsia="en-US"/>
              </w:rPr>
              <w:t>which</w:t>
            </w:r>
            <w:proofErr w:type="spellEnd"/>
            <w:r>
              <w:rPr>
                <w:rFonts w:ascii="Calibri" w:hAnsi="Calibri"/>
                <w:sz w:val="20"/>
                <w:szCs w:val="20"/>
                <w:lang w:eastAsia="en-US"/>
              </w:rPr>
              <w:t xml:space="preserve"> had </w:t>
            </w:r>
            <w:proofErr w:type="spellStart"/>
            <w:r>
              <w:rPr>
                <w:rFonts w:ascii="Calibri" w:hAnsi="Calibri"/>
                <w:sz w:val="20"/>
                <w:szCs w:val="20"/>
                <w:lang w:eastAsia="en-US"/>
              </w:rPr>
              <w:t>already</w:t>
            </w:r>
            <w:proofErr w:type="spellEnd"/>
            <w:r>
              <w:rPr>
                <w:rFonts w:ascii="Calibri" w:hAnsi="Calibri"/>
                <w:sz w:val="20"/>
                <w:szCs w:val="20"/>
                <w:lang w:eastAsia="en-US"/>
              </w:rPr>
              <w:t xml:space="preserve"> been </w:t>
            </w:r>
            <w:proofErr w:type="spellStart"/>
            <w:r>
              <w:rPr>
                <w:rFonts w:ascii="Calibri" w:hAnsi="Calibri"/>
                <w:sz w:val="20"/>
                <w:szCs w:val="20"/>
                <w:lang w:eastAsia="en-US"/>
              </w:rPr>
              <w:t>objected</w:t>
            </w:r>
            <w:proofErr w:type="spellEnd"/>
            <w:r>
              <w:rPr>
                <w:rFonts w:ascii="Calibri" w:hAnsi="Calibri"/>
                <w:sz w:val="20"/>
                <w:szCs w:val="20"/>
                <w:lang w:eastAsia="en-US"/>
              </w:rPr>
              <w:t xml:space="preserve"> </w:t>
            </w:r>
            <w:proofErr w:type="spellStart"/>
            <w:r>
              <w:rPr>
                <w:rFonts w:ascii="Calibri" w:hAnsi="Calibri"/>
                <w:sz w:val="20"/>
                <w:szCs w:val="20"/>
                <w:lang w:eastAsia="en-US"/>
              </w:rPr>
              <w:t>by</w:t>
            </w:r>
            <w:proofErr w:type="spellEnd"/>
            <w:r>
              <w:rPr>
                <w:rFonts w:ascii="Calibri" w:hAnsi="Calibri"/>
                <w:sz w:val="20"/>
                <w:szCs w:val="20"/>
                <w:lang w:eastAsia="en-US"/>
              </w:rPr>
              <w:t xml:space="preserve"> the </w:t>
            </w:r>
            <w:proofErr w:type="spellStart"/>
            <w:r>
              <w:rPr>
                <w:rFonts w:ascii="Calibri" w:hAnsi="Calibri"/>
                <w:sz w:val="20"/>
                <w:szCs w:val="20"/>
                <w:lang w:eastAsia="en-US"/>
              </w:rPr>
              <w:t>Commission</w:t>
            </w:r>
            <w:proofErr w:type="spellEnd"/>
            <w:r>
              <w:rPr>
                <w:rFonts w:ascii="Calibri" w:hAnsi="Calibri"/>
                <w:sz w:val="20"/>
                <w:szCs w:val="20"/>
                <w:lang w:eastAsia="en-US"/>
              </w:rPr>
              <w:t xml:space="preserve"> in 2009 </w:t>
            </w:r>
            <w:proofErr w:type="spellStart"/>
            <w:r>
              <w:rPr>
                <w:rFonts w:ascii="Calibri" w:hAnsi="Calibri"/>
                <w:sz w:val="20"/>
                <w:szCs w:val="20"/>
                <w:lang w:eastAsia="en-US"/>
              </w:rPr>
              <w:t>and</w:t>
            </w:r>
            <w:proofErr w:type="spellEnd"/>
            <w:r>
              <w:rPr>
                <w:rFonts w:ascii="Calibri" w:hAnsi="Calibri"/>
                <w:sz w:val="20"/>
                <w:szCs w:val="20"/>
                <w:lang w:eastAsia="en-US"/>
              </w:rPr>
              <w:t xml:space="preserve"> 2011.</w:t>
            </w:r>
          </w:p>
          <w:p w:rsidR="005E3B95" w:rsidRDefault="005E3B95">
            <w:pPr>
              <w:spacing w:line="276" w:lineRule="auto"/>
              <w:jc w:val="both"/>
              <w:rPr>
                <w:rFonts w:ascii="Calibri" w:hAnsi="Calibri"/>
                <w:sz w:val="20"/>
                <w:szCs w:val="20"/>
                <w:lang w:eastAsia="en-US"/>
              </w:rPr>
            </w:pPr>
          </w:p>
          <w:p w:rsidR="005E3B95" w:rsidRDefault="005E3B95" w:rsidP="002549E1">
            <w:pPr>
              <w:pStyle w:val="Lijstalinea"/>
              <w:numPr>
                <w:ilvl w:val="0"/>
                <w:numId w:val="2"/>
              </w:numPr>
              <w:spacing w:line="276" w:lineRule="auto"/>
              <w:jc w:val="both"/>
              <w:rPr>
                <w:sz w:val="20"/>
                <w:szCs w:val="20"/>
                <w:lang w:val="en-US" w:eastAsia="en-US"/>
              </w:rPr>
            </w:pPr>
            <w:hyperlink r:id="rId10" w:history="1">
              <w:r>
                <w:rPr>
                  <w:rStyle w:val="Hyperlink"/>
                  <w:sz w:val="20"/>
                  <w:szCs w:val="20"/>
                </w:rPr>
                <w:t>Press release</w:t>
              </w:r>
            </w:hyperlink>
          </w:p>
          <w:p w:rsidR="005E3B95" w:rsidRDefault="005E3B95">
            <w:pPr>
              <w:pStyle w:val="Lijstalinea"/>
              <w:spacing w:line="276" w:lineRule="auto"/>
              <w:ind w:left="644"/>
              <w:jc w:val="both"/>
              <w:rPr>
                <w:sz w:val="20"/>
                <w:szCs w:val="20"/>
                <w:lang w:val="en-US" w:eastAsia="en-US"/>
              </w:rPr>
            </w:pPr>
          </w:p>
          <w:p w:rsidR="005E3B95" w:rsidRDefault="005E3B95" w:rsidP="002549E1">
            <w:pPr>
              <w:pStyle w:val="Lijstalinea"/>
              <w:numPr>
                <w:ilvl w:val="0"/>
                <w:numId w:val="1"/>
              </w:numPr>
              <w:shd w:val="clear" w:color="auto" w:fill="FEFEFE"/>
              <w:spacing w:line="276" w:lineRule="auto"/>
              <w:ind w:left="567" w:right="141"/>
              <w:jc w:val="both"/>
              <w:rPr>
                <w:b/>
                <w:bCs/>
                <w:color w:val="000000"/>
                <w:sz w:val="20"/>
                <w:szCs w:val="20"/>
                <w:lang w:eastAsia="fr-BE"/>
              </w:rPr>
            </w:pPr>
            <w:proofErr w:type="spellStart"/>
            <w:r>
              <w:rPr>
                <w:b/>
                <w:bCs/>
                <w:color w:val="000000"/>
                <w:sz w:val="20"/>
                <w:szCs w:val="20"/>
              </w:rPr>
              <w:lastRenderedPageBreak/>
              <w:t>Commission</w:t>
            </w:r>
            <w:proofErr w:type="spellEnd"/>
            <w:r>
              <w:rPr>
                <w:b/>
                <w:bCs/>
                <w:color w:val="000000"/>
                <w:sz w:val="20"/>
                <w:szCs w:val="20"/>
              </w:rPr>
              <w:t xml:space="preserve"> takes Belgium </w:t>
            </w:r>
            <w:proofErr w:type="spellStart"/>
            <w:r>
              <w:rPr>
                <w:b/>
                <w:bCs/>
                <w:color w:val="000000"/>
                <w:sz w:val="20"/>
                <w:szCs w:val="20"/>
              </w:rPr>
              <w:t>to</w:t>
            </w:r>
            <w:proofErr w:type="spellEnd"/>
            <w:r>
              <w:rPr>
                <w:b/>
                <w:bCs/>
                <w:color w:val="000000"/>
                <w:sz w:val="20"/>
                <w:szCs w:val="20"/>
              </w:rPr>
              <w:t xml:space="preserve"> CJEU </w:t>
            </w:r>
            <w:proofErr w:type="spellStart"/>
            <w:r>
              <w:rPr>
                <w:b/>
                <w:bCs/>
                <w:color w:val="000000"/>
                <w:sz w:val="20"/>
                <w:szCs w:val="20"/>
              </w:rPr>
              <w:t>for</w:t>
            </w:r>
            <w:proofErr w:type="spellEnd"/>
            <w:r>
              <w:rPr>
                <w:b/>
                <w:bCs/>
                <w:color w:val="000000"/>
                <w:sz w:val="20"/>
                <w:szCs w:val="20"/>
              </w:rPr>
              <w:t xml:space="preserve"> </w:t>
            </w:r>
            <w:proofErr w:type="spellStart"/>
            <w:r>
              <w:rPr>
                <w:b/>
                <w:bCs/>
                <w:color w:val="000000"/>
                <w:sz w:val="20"/>
                <w:szCs w:val="20"/>
              </w:rPr>
              <w:t>discriminatory</w:t>
            </w:r>
            <w:proofErr w:type="spellEnd"/>
            <w:r>
              <w:rPr>
                <w:b/>
                <w:bCs/>
                <w:color w:val="000000"/>
                <w:sz w:val="20"/>
                <w:szCs w:val="20"/>
              </w:rPr>
              <w:t xml:space="preserve"> </w:t>
            </w:r>
            <w:proofErr w:type="spellStart"/>
            <w:r>
              <w:rPr>
                <w:b/>
                <w:bCs/>
                <w:color w:val="000000"/>
                <w:sz w:val="20"/>
                <w:szCs w:val="20"/>
              </w:rPr>
              <w:t>taxation</w:t>
            </w:r>
            <w:proofErr w:type="spellEnd"/>
            <w:r>
              <w:rPr>
                <w:b/>
                <w:bCs/>
                <w:color w:val="000000"/>
                <w:sz w:val="20"/>
                <w:szCs w:val="20"/>
              </w:rPr>
              <w:t xml:space="preserve"> of </w:t>
            </w:r>
            <w:proofErr w:type="spellStart"/>
            <w:r>
              <w:rPr>
                <w:b/>
                <w:bCs/>
                <w:color w:val="000000"/>
                <w:sz w:val="20"/>
                <w:szCs w:val="20"/>
              </w:rPr>
              <w:t>collective</w:t>
            </w:r>
            <w:proofErr w:type="spellEnd"/>
            <w:r>
              <w:rPr>
                <w:b/>
                <w:bCs/>
                <w:color w:val="000000"/>
                <w:sz w:val="20"/>
                <w:szCs w:val="20"/>
              </w:rPr>
              <w:t xml:space="preserve"> investment </w:t>
            </w:r>
            <w:proofErr w:type="spellStart"/>
            <w:r>
              <w:rPr>
                <w:b/>
                <w:bCs/>
                <w:color w:val="000000"/>
                <w:sz w:val="20"/>
                <w:szCs w:val="20"/>
              </w:rPr>
              <w:t>undertakings</w:t>
            </w:r>
            <w:proofErr w:type="spellEnd"/>
          </w:p>
          <w:p w:rsidR="005E3B95" w:rsidRDefault="005E3B95">
            <w:pPr>
              <w:pStyle w:val="Lijstalinea"/>
              <w:shd w:val="clear" w:color="auto" w:fill="FEFEFE"/>
              <w:spacing w:line="276" w:lineRule="auto"/>
              <w:ind w:left="567" w:right="141"/>
              <w:jc w:val="both"/>
              <w:rPr>
                <w:color w:val="000000"/>
                <w:sz w:val="20"/>
                <w:szCs w:val="20"/>
              </w:rPr>
            </w:pPr>
          </w:p>
          <w:p w:rsidR="005E3B95" w:rsidRDefault="005E3B95">
            <w:pPr>
              <w:pStyle w:val="Lijstalinea"/>
              <w:shd w:val="clear" w:color="auto" w:fill="FEFEFE"/>
              <w:spacing w:line="276" w:lineRule="auto"/>
              <w:ind w:left="567" w:right="141"/>
              <w:rPr>
                <w:color w:val="000000"/>
                <w:sz w:val="20"/>
                <w:szCs w:val="20"/>
              </w:rPr>
            </w:pPr>
            <w:r>
              <w:rPr>
                <w:color w:val="000000"/>
                <w:sz w:val="20"/>
                <w:szCs w:val="20"/>
              </w:rPr>
              <w:t xml:space="preserve">On 16 </w:t>
            </w:r>
            <w:proofErr w:type="spellStart"/>
            <w:r>
              <w:rPr>
                <w:color w:val="000000"/>
                <w:sz w:val="20"/>
                <w:szCs w:val="20"/>
              </w:rPr>
              <w:t>October</w:t>
            </w:r>
            <w:proofErr w:type="spellEnd"/>
            <w:r>
              <w:rPr>
                <w:color w:val="000000"/>
                <w:sz w:val="20"/>
                <w:szCs w:val="20"/>
              </w:rPr>
              <w:t xml:space="preserve"> 2014, the European </w:t>
            </w:r>
            <w:proofErr w:type="spellStart"/>
            <w:r>
              <w:rPr>
                <w:color w:val="000000"/>
                <w:sz w:val="20"/>
                <w:szCs w:val="20"/>
              </w:rPr>
              <w:t>Commission</w:t>
            </w:r>
            <w:proofErr w:type="spellEnd"/>
            <w:r>
              <w:rPr>
                <w:color w:val="000000"/>
                <w:sz w:val="20"/>
                <w:szCs w:val="20"/>
              </w:rPr>
              <w:t xml:space="preserve"> </w:t>
            </w:r>
            <w:proofErr w:type="spellStart"/>
            <w:r>
              <w:rPr>
                <w:color w:val="000000"/>
                <w:sz w:val="20"/>
                <w:szCs w:val="20"/>
              </w:rPr>
              <w:t>decided</w:t>
            </w:r>
            <w:proofErr w:type="spellEnd"/>
            <w:r>
              <w:rPr>
                <w:color w:val="000000"/>
                <w:sz w:val="20"/>
                <w:szCs w:val="20"/>
              </w:rPr>
              <w:t xml:space="preserve"> </w:t>
            </w:r>
            <w:proofErr w:type="spellStart"/>
            <w:r>
              <w:rPr>
                <w:color w:val="000000"/>
                <w:sz w:val="20"/>
                <w:szCs w:val="20"/>
              </w:rPr>
              <w:t>to</w:t>
            </w:r>
            <w:proofErr w:type="spellEnd"/>
            <w:r>
              <w:rPr>
                <w:color w:val="000000"/>
                <w:sz w:val="20"/>
                <w:szCs w:val="20"/>
              </w:rPr>
              <w:t xml:space="preserve"> </w:t>
            </w:r>
            <w:proofErr w:type="spellStart"/>
            <w:r>
              <w:rPr>
                <w:color w:val="000000"/>
                <w:sz w:val="20"/>
                <w:szCs w:val="20"/>
              </w:rPr>
              <w:t>refer</w:t>
            </w:r>
            <w:proofErr w:type="spellEnd"/>
            <w:r>
              <w:rPr>
                <w:color w:val="000000"/>
                <w:sz w:val="20"/>
                <w:szCs w:val="20"/>
              </w:rPr>
              <w:t xml:space="preserve"> Belgium </w:t>
            </w:r>
            <w:proofErr w:type="spellStart"/>
            <w:r>
              <w:rPr>
                <w:color w:val="000000"/>
                <w:sz w:val="20"/>
                <w:szCs w:val="20"/>
              </w:rPr>
              <w:t>to</w:t>
            </w:r>
            <w:proofErr w:type="spellEnd"/>
            <w:r>
              <w:rPr>
                <w:color w:val="000000"/>
                <w:sz w:val="20"/>
                <w:szCs w:val="20"/>
              </w:rPr>
              <w:t xml:space="preserve"> the EU Court of </w:t>
            </w:r>
            <w:proofErr w:type="spellStart"/>
            <w:r>
              <w:rPr>
                <w:color w:val="000000"/>
                <w:sz w:val="20"/>
                <w:szCs w:val="20"/>
              </w:rPr>
              <w:t>Justice</w:t>
            </w:r>
            <w:proofErr w:type="spellEnd"/>
            <w:r>
              <w:rPr>
                <w:color w:val="000000"/>
                <w:sz w:val="20"/>
                <w:szCs w:val="20"/>
              </w:rPr>
              <w:t xml:space="preserve"> </w:t>
            </w:r>
            <w:proofErr w:type="spellStart"/>
            <w:r>
              <w:rPr>
                <w:color w:val="000000"/>
                <w:sz w:val="20"/>
                <w:szCs w:val="20"/>
              </w:rPr>
              <w:t>for</w:t>
            </w:r>
            <w:proofErr w:type="spellEnd"/>
            <w:r>
              <w:rPr>
                <w:color w:val="000000"/>
                <w:sz w:val="20"/>
                <w:szCs w:val="20"/>
              </w:rPr>
              <w:t xml:space="preserve"> </w:t>
            </w:r>
            <w:proofErr w:type="spellStart"/>
            <w:r>
              <w:rPr>
                <w:color w:val="000000"/>
                <w:sz w:val="20"/>
                <w:szCs w:val="20"/>
              </w:rPr>
              <w:t>discriminatory</w:t>
            </w:r>
            <w:proofErr w:type="spellEnd"/>
            <w:r>
              <w:rPr>
                <w:color w:val="000000"/>
                <w:sz w:val="20"/>
                <w:szCs w:val="20"/>
              </w:rPr>
              <w:t xml:space="preserve"> </w:t>
            </w:r>
            <w:proofErr w:type="spellStart"/>
            <w:r>
              <w:rPr>
                <w:color w:val="000000"/>
                <w:sz w:val="20"/>
                <w:szCs w:val="20"/>
              </w:rPr>
              <w:t>taxation</w:t>
            </w:r>
            <w:proofErr w:type="spellEnd"/>
            <w:r>
              <w:rPr>
                <w:color w:val="000000"/>
                <w:sz w:val="20"/>
                <w:szCs w:val="20"/>
              </w:rPr>
              <w:t xml:space="preserve"> of </w:t>
            </w:r>
            <w:proofErr w:type="spellStart"/>
            <w:r>
              <w:rPr>
                <w:color w:val="000000"/>
                <w:sz w:val="20"/>
                <w:szCs w:val="20"/>
              </w:rPr>
              <w:t>collective</w:t>
            </w:r>
            <w:proofErr w:type="spellEnd"/>
            <w:r>
              <w:rPr>
                <w:color w:val="000000"/>
                <w:sz w:val="20"/>
                <w:szCs w:val="20"/>
              </w:rPr>
              <w:t xml:space="preserve"> investment </w:t>
            </w:r>
            <w:proofErr w:type="spellStart"/>
            <w:r>
              <w:rPr>
                <w:color w:val="000000"/>
                <w:sz w:val="20"/>
                <w:szCs w:val="20"/>
              </w:rPr>
              <w:t>undertakings</w:t>
            </w:r>
            <w:proofErr w:type="spellEnd"/>
            <w:r>
              <w:rPr>
                <w:color w:val="000000"/>
                <w:sz w:val="20"/>
                <w:szCs w:val="20"/>
              </w:rPr>
              <w:t xml:space="preserve"> (</w:t>
            </w:r>
            <w:proofErr w:type="spellStart"/>
            <w:r>
              <w:rPr>
                <w:color w:val="000000"/>
                <w:sz w:val="20"/>
                <w:szCs w:val="20"/>
              </w:rPr>
              <w:t>CIUs</w:t>
            </w:r>
            <w:proofErr w:type="spellEnd"/>
            <w:r>
              <w:rPr>
                <w:color w:val="000000"/>
                <w:sz w:val="20"/>
                <w:szCs w:val="20"/>
              </w:rPr>
              <w:t xml:space="preserve">) </w:t>
            </w:r>
            <w:proofErr w:type="spellStart"/>
            <w:r>
              <w:rPr>
                <w:color w:val="000000"/>
                <w:sz w:val="20"/>
                <w:szCs w:val="20"/>
              </w:rPr>
              <w:t>established</w:t>
            </w:r>
            <w:proofErr w:type="spellEnd"/>
            <w:r>
              <w:rPr>
                <w:color w:val="000000"/>
                <w:sz w:val="20"/>
                <w:szCs w:val="20"/>
              </w:rPr>
              <w:t xml:space="preserve"> in </w:t>
            </w:r>
            <w:proofErr w:type="spellStart"/>
            <w:r>
              <w:rPr>
                <w:color w:val="000000"/>
                <w:sz w:val="20"/>
                <w:szCs w:val="20"/>
              </w:rPr>
              <w:t>other</w:t>
            </w:r>
            <w:proofErr w:type="spellEnd"/>
            <w:r>
              <w:rPr>
                <w:color w:val="000000"/>
                <w:sz w:val="20"/>
                <w:szCs w:val="20"/>
              </w:rPr>
              <w:t xml:space="preserve"> member </w:t>
            </w:r>
            <w:proofErr w:type="spellStart"/>
            <w:r>
              <w:rPr>
                <w:color w:val="000000"/>
                <w:sz w:val="20"/>
                <w:szCs w:val="20"/>
              </w:rPr>
              <w:t>states</w:t>
            </w:r>
            <w:proofErr w:type="spellEnd"/>
            <w:r>
              <w:rPr>
                <w:color w:val="000000"/>
                <w:sz w:val="20"/>
                <w:szCs w:val="20"/>
              </w:rPr>
              <w:t xml:space="preserve"> or EEA </w:t>
            </w:r>
            <w:proofErr w:type="spellStart"/>
            <w:r>
              <w:rPr>
                <w:color w:val="000000"/>
                <w:sz w:val="20"/>
                <w:szCs w:val="20"/>
              </w:rPr>
              <w:t>countries</w:t>
            </w:r>
            <w:proofErr w:type="spellEnd"/>
            <w:r>
              <w:rPr>
                <w:color w:val="000000"/>
                <w:sz w:val="20"/>
                <w:szCs w:val="20"/>
              </w:rPr>
              <w:t xml:space="preserve">. In Belgium, the </w:t>
            </w:r>
            <w:proofErr w:type="spellStart"/>
            <w:r>
              <w:rPr>
                <w:color w:val="000000"/>
                <w:sz w:val="20"/>
                <w:szCs w:val="20"/>
              </w:rPr>
              <w:t>rate</w:t>
            </w:r>
            <w:proofErr w:type="spellEnd"/>
            <w:r>
              <w:rPr>
                <w:color w:val="000000"/>
                <w:sz w:val="20"/>
                <w:szCs w:val="20"/>
              </w:rPr>
              <w:t xml:space="preserve"> of </w:t>
            </w:r>
            <w:proofErr w:type="spellStart"/>
            <w:r>
              <w:rPr>
                <w:color w:val="000000"/>
                <w:sz w:val="20"/>
                <w:szCs w:val="20"/>
              </w:rPr>
              <w:t>annual</w:t>
            </w:r>
            <w:proofErr w:type="spellEnd"/>
            <w:r>
              <w:rPr>
                <w:color w:val="000000"/>
                <w:sz w:val="20"/>
                <w:szCs w:val="20"/>
              </w:rPr>
              <w:t xml:space="preserve"> tax on </w:t>
            </w:r>
            <w:proofErr w:type="spellStart"/>
            <w:r>
              <w:rPr>
                <w:color w:val="000000"/>
                <w:sz w:val="20"/>
                <w:szCs w:val="20"/>
              </w:rPr>
              <w:t>certain</w:t>
            </w:r>
            <w:proofErr w:type="spellEnd"/>
            <w:r>
              <w:rPr>
                <w:color w:val="000000"/>
                <w:sz w:val="20"/>
                <w:szCs w:val="20"/>
              </w:rPr>
              <w:t xml:space="preserve"> </w:t>
            </w:r>
            <w:proofErr w:type="spellStart"/>
            <w:r>
              <w:rPr>
                <w:color w:val="000000"/>
                <w:sz w:val="20"/>
                <w:szCs w:val="20"/>
              </w:rPr>
              <w:t>CIUs</w:t>
            </w:r>
            <w:proofErr w:type="spellEnd"/>
            <w:r>
              <w:rPr>
                <w:color w:val="000000"/>
                <w:sz w:val="20"/>
                <w:szCs w:val="20"/>
              </w:rPr>
              <w:t xml:space="preserve"> </w:t>
            </w:r>
            <w:proofErr w:type="spellStart"/>
            <w:r>
              <w:rPr>
                <w:color w:val="000000"/>
                <w:sz w:val="20"/>
                <w:szCs w:val="20"/>
              </w:rPr>
              <w:t>governed</w:t>
            </w:r>
            <w:proofErr w:type="spellEnd"/>
            <w:r>
              <w:rPr>
                <w:color w:val="000000"/>
                <w:sz w:val="20"/>
                <w:szCs w:val="20"/>
              </w:rPr>
              <w:t xml:space="preserve"> </w:t>
            </w:r>
            <w:proofErr w:type="spellStart"/>
            <w:r>
              <w:rPr>
                <w:color w:val="000000"/>
                <w:sz w:val="20"/>
                <w:szCs w:val="20"/>
              </w:rPr>
              <w:t>by</w:t>
            </w:r>
            <w:proofErr w:type="spellEnd"/>
            <w:r>
              <w:rPr>
                <w:color w:val="000000"/>
                <w:sz w:val="20"/>
                <w:szCs w:val="20"/>
              </w:rPr>
              <w:t xml:space="preserve"> </w:t>
            </w:r>
            <w:proofErr w:type="spellStart"/>
            <w:r>
              <w:rPr>
                <w:color w:val="000000"/>
                <w:sz w:val="20"/>
                <w:szCs w:val="20"/>
              </w:rPr>
              <w:t>foreign</w:t>
            </w:r>
            <w:proofErr w:type="spellEnd"/>
            <w:r>
              <w:rPr>
                <w:color w:val="000000"/>
                <w:sz w:val="20"/>
                <w:szCs w:val="20"/>
              </w:rPr>
              <w:t xml:space="preserve"> </w:t>
            </w:r>
            <w:proofErr w:type="spellStart"/>
            <w:r>
              <w:rPr>
                <w:color w:val="000000"/>
                <w:sz w:val="20"/>
                <w:szCs w:val="20"/>
              </w:rPr>
              <w:t>law</w:t>
            </w:r>
            <w:proofErr w:type="spellEnd"/>
            <w:r>
              <w:rPr>
                <w:color w:val="000000"/>
                <w:sz w:val="20"/>
                <w:szCs w:val="20"/>
              </w:rPr>
              <w:t xml:space="preserve"> </w:t>
            </w:r>
            <w:proofErr w:type="spellStart"/>
            <w:r>
              <w:rPr>
                <w:color w:val="000000"/>
                <w:sz w:val="20"/>
                <w:szCs w:val="20"/>
              </w:rPr>
              <w:t>established</w:t>
            </w:r>
            <w:proofErr w:type="spellEnd"/>
            <w:r>
              <w:rPr>
                <w:color w:val="000000"/>
                <w:sz w:val="20"/>
                <w:szCs w:val="20"/>
              </w:rPr>
              <w:t xml:space="preserve"> in </w:t>
            </w:r>
            <w:proofErr w:type="spellStart"/>
            <w:r>
              <w:rPr>
                <w:color w:val="000000"/>
                <w:sz w:val="20"/>
                <w:szCs w:val="20"/>
              </w:rPr>
              <w:t>other</w:t>
            </w:r>
            <w:proofErr w:type="spellEnd"/>
            <w:r>
              <w:rPr>
                <w:color w:val="000000"/>
                <w:sz w:val="20"/>
                <w:szCs w:val="20"/>
              </w:rPr>
              <w:t xml:space="preserve"> EU/EEA </w:t>
            </w:r>
            <w:proofErr w:type="spellStart"/>
            <w:r>
              <w:rPr>
                <w:color w:val="000000"/>
                <w:sz w:val="20"/>
                <w:szCs w:val="20"/>
              </w:rPr>
              <w:t>states</w:t>
            </w:r>
            <w:proofErr w:type="spellEnd"/>
            <w:r>
              <w:rPr>
                <w:color w:val="000000"/>
                <w:sz w:val="20"/>
                <w:szCs w:val="20"/>
              </w:rPr>
              <w:t xml:space="preserve"> is </w:t>
            </w:r>
            <w:proofErr w:type="spellStart"/>
            <w:r>
              <w:rPr>
                <w:color w:val="000000"/>
                <w:sz w:val="20"/>
                <w:szCs w:val="20"/>
              </w:rPr>
              <w:t>higher</w:t>
            </w:r>
            <w:proofErr w:type="spellEnd"/>
            <w:r>
              <w:rPr>
                <w:color w:val="000000"/>
                <w:sz w:val="20"/>
                <w:szCs w:val="20"/>
              </w:rPr>
              <w:t xml:space="preserve"> </w:t>
            </w:r>
            <w:proofErr w:type="spellStart"/>
            <w:r>
              <w:rPr>
                <w:color w:val="000000"/>
                <w:sz w:val="20"/>
                <w:szCs w:val="20"/>
              </w:rPr>
              <w:t>than</w:t>
            </w:r>
            <w:proofErr w:type="spellEnd"/>
            <w:r>
              <w:rPr>
                <w:color w:val="000000"/>
                <w:sz w:val="20"/>
                <w:szCs w:val="20"/>
              </w:rPr>
              <w:t xml:space="preserve"> the </w:t>
            </w:r>
            <w:proofErr w:type="spellStart"/>
            <w:r>
              <w:rPr>
                <w:color w:val="000000"/>
                <w:sz w:val="20"/>
                <w:szCs w:val="20"/>
              </w:rPr>
              <w:t>rate</w:t>
            </w:r>
            <w:proofErr w:type="spellEnd"/>
            <w:r>
              <w:rPr>
                <w:color w:val="000000"/>
                <w:sz w:val="20"/>
                <w:szCs w:val="20"/>
              </w:rPr>
              <w:t xml:space="preserve"> </w:t>
            </w:r>
            <w:proofErr w:type="spellStart"/>
            <w:r>
              <w:rPr>
                <w:color w:val="000000"/>
                <w:sz w:val="20"/>
                <w:szCs w:val="20"/>
              </w:rPr>
              <w:t>applied</w:t>
            </w:r>
            <w:proofErr w:type="spellEnd"/>
            <w:r>
              <w:rPr>
                <w:color w:val="000000"/>
                <w:sz w:val="20"/>
                <w:szCs w:val="20"/>
              </w:rPr>
              <w:t xml:space="preserve"> </w:t>
            </w:r>
            <w:proofErr w:type="spellStart"/>
            <w:r>
              <w:rPr>
                <w:color w:val="000000"/>
                <w:sz w:val="20"/>
                <w:szCs w:val="20"/>
              </w:rPr>
              <w:t>to</w:t>
            </w:r>
            <w:proofErr w:type="spellEnd"/>
            <w:r>
              <w:rPr>
                <w:color w:val="000000"/>
                <w:sz w:val="20"/>
                <w:szCs w:val="20"/>
              </w:rPr>
              <w:t xml:space="preserve"> </w:t>
            </w:r>
            <w:proofErr w:type="spellStart"/>
            <w:r>
              <w:rPr>
                <w:color w:val="000000"/>
                <w:sz w:val="20"/>
                <w:szCs w:val="20"/>
              </w:rPr>
              <w:t>similar</w:t>
            </w:r>
            <w:proofErr w:type="spellEnd"/>
            <w:r>
              <w:rPr>
                <w:color w:val="000000"/>
                <w:sz w:val="20"/>
                <w:szCs w:val="20"/>
              </w:rPr>
              <w:t xml:space="preserve"> </w:t>
            </w:r>
            <w:proofErr w:type="spellStart"/>
            <w:r>
              <w:rPr>
                <w:color w:val="000000"/>
                <w:sz w:val="20"/>
                <w:szCs w:val="20"/>
              </w:rPr>
              <w:t>CIUs</w:t>
            </w:r>
            <w:proofErr w:type="spellEnd"/>
            <w:r>
              <w:rPr>
                <w:color w:val="000000"/>
                <w:sz w:val="20"/>
                <w:szCs w:val="20"/>
              </w:rPr>
              <w:t xml:space="preserve"> </w:t>
            </w:r>
            <w:proofErr w:type="spellStart"/>
            <w:r>
              <w:rPr>
                <w:color w:val="000000"/>
                <w:sz w:val="20"/>
                <w:szCs w:val="20"/>
              </w:rPr>
              <w:t>established</w:t>
            </w:r>
            <w:proofErr w:type="spellEnd"/>
            <w:r>
              <w:rPr>
                <w:color w:val="000000"/>
                <w:sz w:val="20"/>
                <w:szCs w:val="20"/>
              </w:rPr>
              <w:t xml:space="preserve"> in Belgium. </w:t>
            </w:r>
            <w:proofErr w:type="spellStart"/>
            <w:r>
              <w:rPr>
                <w:color w:val="000000"/>
                <w:sz w:val="20"/>
                <w:szCs w:val="20"/>
              </w:rPr>
              <w:t>This</w:t>
            </w:r>
            <w:proofErr w:type="spellEnd"/>
            <w:r>
              <w:rPr>
                <w:color w:val="000000"/>
                <w:sz w:val="20"/>
                <w:szCs w:val="20"/>
              </w:rPr>
              <w:t xml:space="preserve"> concerns </w:t>
            </w:r>
            <w:proofErr w:type="spellStart"/>
            <w:r>
              <w:rPr>
                <w:color w:val="000000"/>
                <w:sz w:val="20"/>
                <w:szCs w:val="20"/>
              </w:rPr>
              <w:t>CIUs</w:t>
            </w:r>
            <w:proofErr w:type="spellEnd"/>
            <w:r>
              <w:rPr>
                <w:color w:val="000000"/>
                <w:sz w:val="20"/>
                <w:szCs w:val="20"/>
              </w:rPr>
              <w:t xml:space="preserve"> of </w:t>
            </w:r>
            <w:proofErr w:type="spellStart"/>
            <w:r>
              <w:rPr>
                <w:color w:val="000000"/>
                <w:sz w:val="20"/>
                <w:szCs w:val="20"/>
              </w:rPr>
              <w:t>which</w:t>
            </w:r>
            <w:proofErr w:type="spellEnd"/>
            <w:r>
              <w:rPr>
                <w:color w:val="000000"/>
                <w:sz w:val="20"/>
                <w:szCs w:val="20"/>
              </w:rPr>
              <w:t xml:space="preserve"> </w:t>
            </w:r>
            <w:proofErr w:type="spellStart"/>
            <w:r>
              <w:rPr>
                <w:color w:val="000000"/>
                <w:sz w:val="20"/>
                <w:szCs w:val="20"/>
              </w:rPr>
              <w:t>one</w:t>
            </w:r>
            <w:proofErr w:type="spellEnd"/>
            <w:r>
              <w:rPr>
                <w:color w:val="000000"/>
                <w:sz w:val="20"/>
                <w:szCs w:val="20"/>
              </w:rPr>
              <w:t xml:space="preserve"> or more </w:t>
            </w:r>
            <w:proofErr w:type="spellStart"/>
            <w:r>
              <w:rPr>
                <w:color w:val="000000"/>
                <w:sz w:val="20"/>
                <w:szCs w:val="20"/>
              </w:rPr>
              <w:t>sections</w:t>
            </w:r>
            <w:proofErr w:type="spellEnd"/>
            <w:r>
              <w:rPr>
                <w:color w:val="000000"/>
                <w:sz w:val="20"/>
                <w:szCs w:val="20"/>
              </w:rPr>
              <w:t xml:space="preserve"> or classes of </w:t>
            </w:r>
            <w:proofErr w:type="spellStart"/>
            <w:r>
              <w:rPr>
                <w:color w:val="000000"/>
                <w:sz w:val="20"/>
                <w:szCs w:val="20"/>
              </w:rPr>
              <w:t>securities</w:t>
            </w:r>
            <w:proofErr w:type="spellEnd"/>
            <w:r>
              <w:rPr>
                <w:color w:val="000000"/>
                <w:sz w:val="20"/>
                <w:szCs w:val="20"/>
              </w:rPr>
              <w:t xml:space="preserve"> are </w:t>
            </w:r>
            <w:proofErr w:type="spellStart"/>
            <w:r>
              <w:rPr>
                <w:color w:val="000000"/>
                <w:sz w:val="20"/>
                <w:szCs w:val="20"/>
              </w:rPr>
              <w:t>collected</w:t>
            </w:r>
            <w:proofErr w:type="spellEnd"/>
            <w:r>
              <w:rPr>
                <w:color w:val="000000"/>
                <w:sz w:val="20"/>
                <w:szCs w:val="20"/>
              </w:rPr>
              <w:t xml:space="preserve"> </w:t>
            </w:r>
            <w:proofErr w:type="spellStart"/>
            <w:r>
              <w:rPr>
                <w:color w:val="000000"/>
                <w:sz w:val="20"/>
                <w:szCs w:val="20"/>
              </w:rPr>
              <w:t>exclusively</w:t>
            </w:r>
            <w:proofErr w:type="spellEnd"/>
            <w:r>
              <w:rPr>
                <w:color w:val="000000"/>
                <w:sz w:val="20"/>
                <w:szCs w:val="20"/>
              </w:rPr>
              <w:t xml:space="preserve"> </w:t>
            </w:r>
            <w:proofErr w:type="spellStart"/>
            <w:r>
              <w:rPr>
                <w:color w:val="000000"/>
                <w:sz w:val="20"/>
                <w:szCs w:val="20"/>
              </w:rPr>
              <w:t>from</w:t>
            </w:r>
            <w:proofErr w:type="spellEnd"/>
            <w:r>
              <w:rPr>
                <w:color w:val="000000"/>
                <w:sz w:val="20"/>
                <w:szCs w:val="20"/>
              </w:rPr>
              <w:t xml:space="preserve"> </w:t>
            </w:r>
            <w:proofErr w:type="spellStart"/>
            <w:r>
              <w:rPr>
                <w:color w:val="000000"/>
                <w:sz w:val="20"/>
                <w:szCs w:val="20"/>
              </w:rPr>
              <w:t>institutional</w:t>
            </w:r>
            <w:proofErr w:type="spellEnd"/>
            <w:r>
              <w:rPr>
                <w:color w:val="000000"/>
                <w:sz w:val="20"/>
                <w:szCs w:val="20"/>
              </w:rPr>
              <w:t xml:space="preserve"> or professional </w:t>
            </w:r>
            <w:proofErr w:type="spellStart"/>
            <w:r>
              <w:rPr>
                <w:color w:val="000000"/>
                <w:sz w:val="20"/>
                <w:szCs w:val="20"/>
              </w:rPr>
              <w:t>investors</w:t>
            </w:r>
            <w:proofErr w:type="spellEnd"/>
            <w:r>
              <w:rPr>
                <w:color w:val="000000"/>
                <w:sz w:val="20"/>
                <w:szCs w:val="20"/>
              </w:rPr>
              <w:t xml:space="preserve"> </w:t>
            </w:r>
            <w:proofErr w:type="spellStart"/>
            <w:r>
              <w:rPr>
                <w:color w:val="000000"/>
                <w:sz w:val="20"/>
                <w:szCs w:val="20"/>
              </w:rPr>
              <w:t>acting</w:t>
            </w:r>
            <w:proofErr w:type="spellEnd"/>
            <w:r>
              <w:rPr>
                <w:color w:val="000000"/>
                <w:sz w:val="20"/>
                <w:szCs w:val="20"/>
              </w:rPr>
              <w:t xml:space="preserve"> on </w:t>
            </w:r>
            <w:proofErr w:type="spellStart"/>
            <w:r>
              <w:rPr>
                <w:color w:val="000000"/>
                <w:sz w:val="20"/>
                <w:szCs w:val="20"/>
              </w:rPr>
              <w:t>their</w:t>
            </w:r>
            <w:proofErr w:type="spellEnd"/>
            <w:r>
              <w:rPr>
                <w:color w:val="000000"/>
                <w:sz w:val="20"/>
                <w:szCs w:val="20"/>
              </w:rPr>
              <w:t xml:space="preserve"> </w:t>
            </w:r>
            <w:proofErr w:type="spellStart"/>
            <w:r>
              <w:rPr>
                <w:color w:val="000000"/>
                <w:sz w:val="20"/>
                <w:szCs w:val="20"/>
              </w:rPr>
              <w:t>own</w:t>
            </w:r>
            <w:proofErr w:type="spellEnd"/>
            <w:r>
              <w:rPr>
                <w:color w:val="000000"/>
                <w:sz w:val="20"/>
                <w:szCs w:val="20"/>
              </w:rPr>
              <w:t xml:space="preserve"> </w:t>
            </w:r>
            <w:proofErr w:type="spellStart"/>
            <w:r>
              <w:rPr>
                <w:color w:val="000000"/>
                <w:sz w:val="20"/>
                <w:szCs w:val="20"/>
              </w:rPr>
              <w:t>behalf</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whose</w:t>
            </w:r>
            <w:proofErr w:type="spellEnd"/>
            <w:r>
              <w:rPr>
                <w:color w:val="000000"/>
                <w:sz w:val="20"/>
                <w:szCs w:val="20"/>
              </w:rPr>
              <w:t xml:space="preserve"> </w:t>
            </w:r>
            <w:proofErr w:type="spellStart"/>
            <w:r>
              <w:rPr>
                <w:color w:val="000000"/>
                <w:sz w:val="20"/>
                <w:szCs w:val="20"/>
              </w:rPr>
              <w:t>securities</w:t>
            </w:r>
            <w:proofErr w:type="spellEnd"/>
            <w:r>
              <w:rPr>
                <w:color w:val="000000"/>
                <w:sz w:val="20"/>
                <w:szCs w:val="20"/>
              </w:rPr>
              <w:t xml:space="preserve"> </w:t>
            </w:r>
            <w:proofErr w:type="spellStart"/>
            <w:r>
              <w:rPr>
                <w:color w:val="000000"/>
                <w:sz w:val="20"/>
                <w:szCs w:val="20"/>
              </w:rPr>
              <w:t>may</w:t>
            </w:r>
            <w:proofErr w:type="spellEnd"/>
            <w:r>
              <w:rPr>
                <w:color w:val="000000"/>
                <w:sz w:val="20"/>
                <w:szCs w:val="20"/>
              </w:rPr>
              <w:t xml:space="preserve"> </w:t>
            </w:r>
            <w:proofErr w:type="spellStart"/>
            <w:r>
              <w:rPr>
                <w:color w:val="000000"/>
                <w:sz w:val="20"/>
                <w:szCs w:val="20"/>
              </w:rPr>
              <w:t>be</w:t>
            </w:r>
            <w:proofErr w:type="spellEnd"/>
            <w:r>
              <w:rPr>
                <w:color w:val="000000"/>
                <w:sz w:val="20"/>
                <w:szCs w:val="20"/>
              </w:rPr>
              <w:t xml:space="preserve"> </w:t>
            </w:r>
            <w:proofErr w:type="spellStart"/>
            <w:r>
              <w:rPr>
                <w:color w:val="000000"/>
                <w:sz w:val="20"/>
                <w:szCs w:val="20"/>
              </w:rPr>
              <w:t>purchased</w:t>
            </w:r>
            <w:proofErr w:type="spellEnd"/>
            <w:r>
              <w:rPr>
                <w:color w:val="000000"/>
                <w:sz w:val="20"/>
                <w:szCs w:val="20"/>
              </w:rPr>
              <w:t xml:space="preserve"> </w:t>
            </w:r>
            <w:proofErr w:type="spellStart"/>
            <w:r>
              <w:rPr>
                <w:color w:val="000000"/>
                <w:sz w:val="20"/>
                <w:szCs w:val="20"/>
              </w:rPr>
              <w:t>only</w:t>
            </w:r>
            <w:proofErr w:type="spellEnd"/>
            <w:r>
              <w:rPr>
                <w:color w:val="000000"/>
                <w:sz w:val="20"/>
                <w:szCs w:val="20"/>
              </w:rPr>
              <w:t xml:space="preserve"> </w:t>
            </w:r>
            <w:proofErr w:type="spellStart"/>
            <w:r>
              <w:rPr>
                <w:color w:val="000000"/>
                <w:sz w:val="20"/>
                <w:szCs w:val="20"/>
              </w:rPr>
              <w:t>by</w:t>
            </w:r>
            <w:proofErr w:type="spellEnd"/>
            <w:r>
              <w:rPr>
                <w:color w:val="000000"/>
                <w:sz w:val="20"/>
                <w:szCs w:val="20"/>
              </w:rPr>
              <w:t xml:space="preserve"> these </w:t>
            </w:r>
            <w:proofErr w:type="spellStart"/>
            <w:r>
              <w:rPr>
                <w:color w:val="000000"/>
                <w:sz w:val="20"/>
                <w:szCs w:val="20"/>
              </w:rPr>
              <w:t>investors</w:t>
            </w:r>
            <w:proofErr w:type="spellEnd"/>
            <w:r>
              <w:rPr>
                <w:color w:val="000000"/>
                <w:sz w:val="20"/>
                <w:szCs w:val="20"/>
              </w:rPr>
              <w:t>.</w:t>
            </w:r>
          </w:p>
          <w:p w:rsidR="005E3B95" w:rsidRDefault="005E3B95">
            <w:pPr>
              <w:pStyle w:val="Lijstalinea"/>
              <w:shd w:val="clear" w:color="auto" w:fill="FEFEFE"/>
              <w:spacing w:line="276" w:lineRule="auto"/>
              <w:ind w:left="567"/>
              <w:jc w:val="both"/>
              <w:rPr>
                <w:color w:val="000000"/>
                <w:sz w:val="20"/>
                <w:szCs w:val="20"/>
              </w:rPr>
            </w:pPr>
          </w:p>
          <w:p w:rsidR="005E3B95" w:rsidRDefault="005E3B95" w:rsidP="002549E1">
            <w:pPr>
              <w:pStyle w:val="Lijstalinea"/>
              <w:numPr>
                <w:ilvl w:val="0"/>
                <w:numId w:val="3"/>
              </w:numPr>
              <w:shd w:val="clear" w:color="auto" w:fill="FEFEFE"/>
              <w:spacing w:line="276" w:lineRule="auto"/>
              <w:jc w:val="both"/>
              <w:rPr>
                <w:rStyle w:val="Hyperlink"/>
                <w:lang w:val="en"/>
              </w:rPr>
            </w:pPr>
            <w:hyperlink r:id="rId11" w:history="1">
              <w:r>
                <w:rPr>
                  <w:rStyle w:val="Hyperlink"/>
                  <w:sz w:val="20"/>
                  <w:szCs w:val="20"/>
                </w:rPr>
                <w:t>Press release</w:t>
              </w:r>
            </w:hyperlink>
          </w:p>
          <w:p w:rsidR="005E3B95" w:rsidRDefault="005E3B95">
            <w:pPr>
              <w:pStyle w:val="Lijstalinea"/>
              <w:spacing w:line="276" w:lineRule="auto"/>
              <w:ind w:left="644"/>
              <w:jc w:val="both"/>
              <w:rPr>
                <w:lang w:val="fr-BE"/>
              </w:rPr>
            </w:pPr>
          </w:p>
          <w:p w:rsidR="005E3B95" w:rsidRDefault="005E3B95">
            <w:pPr>
              <w:pStyle w:val="Lijstalinea"/>
              <w:spacing w:line="276" w:lineRule="auto"/>
              <w:ind w:left="644"/>
              <w:jc w:val="both"/>
              <w:rPr>
                <w:sz w:val="20"/>
                <w:szCs w:val="20"/>
                <w:lang w:eastAsia="en-US"/>
              </w:rPr>
            </w:pPr>
          </w:p>
          <w:p w:rsidR="005E3B95" w:rsidRDefault="005E3B95" w:rsidP="002549E1">
            <w:pPr>
              <w:pStyle w:val="Lijstalinea"/>
              <w:numPr>
                <w:ilvl w:val="0"/>
                <w:numId w:val="1"/>
              </w:numPr>
              <w:spacing w:line="276" w:lineRule="auto"/>
              <w:jc w:val="both"/>
              <w:rPr>
                <w:b/>
                <w:bCs/>
                <w:sz w:val="20"/>
                <w:szCs w:val="20"/>
                <w:lang w:val="en-US" w:eastAsia="en-US"/>
              </w:rPr>
            </w:pPr>
            <w:r>
              <w:rPr>
                <w:b/>
                <w:bCs/>
                <w:sz w:val="20"/>
                <w:szCs w:val="20"/>
                <w:lang w:val="en-US" w:eastAsia="en-US"/>
              </w:rPr>
              <w:t>VAT mini-one-stop-shops: Commission informs on implementation of relevant rules into national laws</w:t>
            </w:r>
          </w:p>
          <w:p w:rsidR="005E3B95" w:rsidRDefault="005E3B95">
            <w:pPr>
              <w:pStyle w:val="Lijstalinea"/>
              <w:spacing w:line="276" w:lineRule="auto"/>
              <w:ind w:left="644"/>
              <w:jc w:val="both"/>
              <w:rPr>
                <w:sz w:val="20"/>
                <w:szCs w:val="20"/>
                <w:lang w:val="en-US" w:eastAsia="en-US"/>
              </w:rPr>
            </w:pPr>
          </w:p>
          <w:p w:rsidR="005E3B95" w:rsidRDefault="005E3B95">
            <w:pPr>
              <w:pStyle w:val="Lijstalinea"/>
              <w:spacing w:line="276" w:lineRule="auto"/>
              <w:ind w:left="644" w:right="141"/>
              <w:rPr>
                <w:sz w:val="20"/>
                <w:szCs w:val="20"/>
                <w:lang w:val="en-US" w:eastAsia="en-US"/>
              </w:rPr>
            </w:pPr>
            <w:r>
              <w:rPr>
                <w:sz w:val="20"/>
                <w:szCs w:val="20"/>
                <w:lang w:val="en-US" w:eastAsia="en-US"/>
              </w:rPr>
              <w:t>The European Commission has published information on how member states have implemented provisions of the VAT Directive that have particular relevance for the mini-one-stop-shops for EU- and non-EU providers of e-service, telecommunication and broadcasting applying as of 1 January 2015. The information mostly concerns provisions whose implementation into national law is either optional or subject to differing interpretation in member states. The Commission stresses that the information is neither to be considered final nor exhaustive.</w:t>
            </w:r>
          </w:p>
          <w:p w:rsidR="005E3B95" w:rsidRDefault="005E3B95">
            <w:pPr>
              <w:pStyle w:val="Lijstalinea"/>
              <w:spacing w:line="276" w:lineRule="auto"/>
              <w:ind w:left="644" w:right="141"/>
              <w:rPr>
                <w:sz w:val="20"/>
                <w:szCs w:val="20"/>
                <w:lang w:val="en-US" w:eastAsia="en-US"/>
              </w:rPr>
            </w:pPr>
            <w:r>
              <w:rPr>
                <w:sz w:val="20"/>
                <w:szCs w:val="20"/>
                <w:lang w:val="en-US" w:eastAsia="en-US"/>
              </w:rPr>
              <w:t>The Commission has also provided a list of national contact points.</w:t>
            </w:r>
          </w:p>
          <w:p w:rsidR="005E3B95" w:rsidRDefault="005E3B95">
            <w:pPr>
              <w:pStyle w:val="Lijstalinea"/>
              <w:spacing w:line="276" w:lineRule="auto"/>
              <w:ind w:left="644"/>
              <w:jc w:val="both"/>
              <w:rPr>
                <w:sz w:val="20"/>
                <w:szCs w:val="20"/>
                <w:lang w:val="en-US" w:eastAsia="en-US"/>
              </w:rPr>
            </w:pPr>
          </w:p>
          <w:p w:rsidR="005E3B95" w:rsidRDefault="005E3B95" w:rsidP="002549E1">
            <w:pPr>
              <w:pStyle w:val="Lijstalinea"/>
              <w:numPr>
                <w:ilvl w:val="0"/>
                <w:numId w:val="3"/>
              </w:numPr>
              <w:spacing w:line="276" w:lineRule="auto"/>
              <w:jc w:val="both"/>
              <w:rPr>
                <w:rStyle w:val="Hyperlink"/>
              </w:rPr>
            </w:pPr>
            <w:hyperlink r:id="rId12" w:history="1">
              <w:r>
                <w:rPr>
                  <w:rStyle w:val="Hyperlink"/>
                  <w:sz w:val="20"/>
                  <w:szCs w:val="20"/>
                  <w:lang w:val="en-US" w:eastAsia="en-US"/>
                </w:rPr>
                <w:t>Report</w:t>
              </w:r>
            </w:hyperlink>
          </w:p>
          <w:p w:rsidR="005E3B95" w:rsidRDefault="005E3B95" w:rsidP="002549E1">
            <w:pPr>
              <w:pStyle w:val="Lijstalinea"/>
              <w:numPr>
                <w:ilvl w:val="0"/>
                <w:numId w:val="3"/>
              </w:numPr>
              <w:spacing w:line="276" w:lineRule="auto"/>
              <w:jc w:val="both"/>
            </w:pPr>
            <w:hyperlink r:id="rId13" w:history="1">
              <w:r>
                <w:rPr>
                  <w:rStyle w:val="Hyperlink"/>
                  <w:sz w:val="20"/>
                  <w:szCs w:val="20"/>
                  <w:lang w:val="en-US" w:eastAsia="en-US"/>
                </w:rPr>
                <w:t>Instructions for use</w:t>
              </w:r>
            </w:hyperlink>
          </w:p>
          <w:p w:rsidR="005E3B95" w:rsidRDefault="005E3B95" w:rsidP="002549E1">
            <w:pPr>
              <w:pStyle w:val="Lijstalinea"/>
              <w:numPr>
                <w:ilvl w:val="0"/>
                <w:numId w:val="3"/>
              </w:numPr>
              <w:spacing w:line="276" w:lineRule="auto"/>
              <w:jc w:val="both"/>
              <w:rPr>
                <w:color w:val="0000FF"/>
                <w:sz w:val="20"/>
                <w:szCs w:val="20"/>
                <w:u w:val="single"/>
                <w:lang w:val="en-US" w:eastAsia="en-US"/>
              </w:rPr>
            </w:pPr>
            <w:hyperlink r:id="rId14" w:history="1">
              <w:r>
                <w:rPr>
                  <w:rStyle w:val="Hyperlink"/>
                  <w:sz w:val="20"/>
                  <w:szCs w:val="20"/>
                  <w:lang w:val="en-US" w:eastAsia="en-US"/>
                </w:rPr>
                <w:t>National contact points</w:t>
              </w:r>
            </w:hyperlink>
          </w:p>
          <w:p w:rsidR="005E3B95" w:rsidRDefault="005E3B95" w:rsidP="002549E1">
            <w:pPr>
              <w:pStyle w:val="Lijstalinea"/>
              <w:numPr>
                <w:ilvl w:val="0"/>
                <w:numId w:val="3"/>
              </w:numPr>
              <w:spacing w:line="276" w:lineRule="auto"/>
              <w:jc w:val="both"/>
              <w:rPr>
                <w:rStyle w:val="Hyperlink"/>
              </w:rPr>
            </w:pPr>
            <w:hyperlink r:id="rId15" w:history="1">
              <w:r>
                <w:rPr>
                  <w:rStyle w:val="Hyperlink"/>
                  <w:sz w:val="20"/>
                  <w:szCs w:val="20"/>
                  <w:lang w:val="en-US" w:eastAsia="en-US"/>
                </w:rPr>
                <w:t>Commission e-mail address for comments</w:t>
              </w:r>
            </w:hyperlink>
          </w:p>
          <w:p w:rsidR="005E3B95" w:rsidRDefault="005E3B95">
            <w:pPr>
              <w:pStyle w:val="Lijstalinea"/>
              <w:spacing w:line="276" w:lineRule="auto"/>
              <w:ind w:left="644"/>
              <w:jc w:val="both"/>
            </w:pPr>
          </w:p>
          <w:p w:rsidR="005E3B95" w:rsidRDefault="005E3B95">
            <w:pPr>
              <w:pStyle w:val="Lijstalinea"/>
              <w:spacing w:line="276" w:lineRule="auto"/>
              <w:ind w:left="644"/>
              <w:jc w:val="both"/>
              <w:rPr>
                <w:sz w:val="20"/>
                <w:szCs w:val="20"/>
                <w:lang w:val="en-US" w:eastAsia="en-US"/>
              </w:rPr>
            </w:pPr>
          </w:p>
          <w:p w:rsidR="005E3B95" w:rsidRDefault="005E3B95" w:rsidP="002549E1">
            <w:pPr>
              <w:pStyle w:val="Lijstalinea"/>
              <w:numPr>
                <w:ilvl w:val="0"/>
                <w:numId w:val="1"/>
              </w:numPr>
              <w:spacing w:line="276" w:lineRule="auto"/>
              <w:jc w:val="both"/>
              <w:rPr>
                <w:b/>
                <w:bCs/>
                <w:sz w:val="20"/>
                <w:szCs w:val="20"/>
                <w:lang w:val="en-US" w:eastAsia="en-US"/>
              </w:rPr>
            </w:pPr>
            <w:r>
              <w:rPr>
                <w:b/>
                <w:bCs/>
                <w:sz w:val="20"/>
                <w:szCs w:val="20"/>
                <w:lang w:val="en-US" w:eastAsia="en-US"/>
              </w:rPr>
              <w:t>VAT: CJEU decides on the concept of fixed establishment for services received in another member state</w:t>
            </w:r>
          </w:p>
          <w:p w:rsidR="005E3B95" w:rsidRDefault="005E3B95">
            <w:pPr>
              <w:pStyle w:val="Lijstalinea"/>
              <w:spacing w:line="276" w:lineRule="auto"/>
              <w:ind w:left="644"/>
              <w:jc w:val="both"/>
              <w:rPr>
                <w:sz w:val="20"/>
                <w:szCs w:val="20"/>
                <w:lang w:val="en-US" w:eastAsia="en-US"/>
              </w:rPr>
            </w:pPr>
          </w:p>
          <w:p w:rsidR="005E3B95" w:rsidRDefault="005E3B95">
            <w:pPr>
              <w:pStyle w:val="Lijstalinea"/>
              <w:spacing w:line="276" w:lineRule="auto"/>
              <w:ind w:left="644"/>
              <w:rPr>
                <w:sz w:val="20"/>
                <w:szCs w:val="20"/>
                <w:lang w:eastAsia="en-US"/>
              </w:rPr>
            </w:pPr>
            <w:r>
              <w:rPr>
                <w:sz w:val="20"/>
                <w:szCs w:val="20"/>
                <w:lang w:val="en-US" w:eastAsia="en-US"/>
              </w:rPr>
              <w:t xml:space="preserve">On 16 October 2014, the EU Court of Justice delivered its judgment in the Polish preliminary ruling case C-605/12, </w:t>
            </w:r>
            <w:proofErr w:type="spellStart"/>
            <w:r>
              <w:rPr>
                <w:i/>
                <w:iCs/>
                <w:sz w:val="20"/>
                <w:szCs w:val="20"/>
                <w:lang w:val="en-US" w:eastAsia="en-US"/>
              </w:rPr>
              <w:t>Welmory</w:t>
            </w:r>
            <w:proofErr w:type="spellEnd"/>
            <w:r>
              <w:rPr>
                <w:sz w:val="20"/>
                <w:szCs w:val="20"/>
                <w:lang w:val="en-US" w:eastAsia="en-US"/>
              </w:rPr>
              <w:t>, on the c</w:t>
            </w:r>
            <w:proofErr w:type="spellStart"/>
            <w:r>
              <w:rPr>
                <w:sz w:val="20"/>
                <w:szCs w:val="20"/>
                <w:lang w:eastAsia="en-US"/>
              </w:rPr>
              <w:t>oncept</w:t>
            </w:r>
            <w:proofErr w:type="spellEnd"/>
            <w:r>
              <w:rPr>
                <w:sz w:val="20"/>
                <w:szCs w:val="20"/>
                <w:lang w:eastAsia="en-US"/>
              </w:rPr>
              <w:t xml:space="preserve"> of </w:t>
            </w:r>
            <w:proofErr w:type="spellStart"/>
            <w:r>
              <w:rPr>
                <w:sz w:val="20"/>
                <w:szCs w:val="20"/>
                <w:lang w:eastAsia="en-US"/>
              </w:rPr>
              <w:t>fixed</w:t>
            </w:r>
            <w:proofErr w:type="spellEnd"/>
            <w:r>
              <w:rPr>
                <w:sz w:val="20"/>
                <w:szCs w:val="20"/>
                <w:lang w:eastAsia="en-US"/>
              </w:rPr>
              <w:t xml:space="preserve"> establishment of the </w:t>
            </w:r>
            <w:proofErr w:type="spellStart"/>
            <w:r>
              <w:rPr>
                <w:sz w:val="20"/>
                <w:szCs w:val="20"/>
                <w:lang w:eastAsia="en-US"/>
              </w:rPr>
              <w:t>recipient</w:t>
            </w:r>
            <w:proofErr w:type="spellEnd"/>
            <w:r>
              <w:rPr>
                <w:sz w:val="20"/>
                <w:szCs w:val="20"/>
                <w:lang w:eastAsia="en-US"/>
              </w:rPr>
              <w:t xml:space="preserve"> of a </w:t>
            </w:r>
            <w:proofErr w:type="spellStart"/>
            <w:r>
              <w:rPr>
                <w:sz w:val="20"/>
                <w:szCs w:val="20"/>
                <w:lang w:eastAsia="en-US"/>
              </w:rPr>
              <w:t>supply</w:t>
            </w:r>
            <w:proofErr w:type="spellEnd"/>
            <w:r>
              <w:rPr>
                <w:sz w:val="20"/>
                <w:szCs w:val="20"/>
                <w:lang w:eastAsia="en-US"/>
              </w:rPr>
              <w:t xml:space="preserve"> of services, </w:t>
            </w:r>
            <w:proofErr w:type="spellStart"/>
            <w:r>
              <w:rPr>
                <w:sz w:val="20"/>
                <w:szCs w:val="20"/>
                <w:lang w:eastAsia="en-US"/>
              </w:rPr>
              <w:t>stating</w:t>
            </w:r>
            <w:proofErr w:type="spellEnd"/>
            <w:r>
              <w:rPr>
                <w:sz w:val="20"/>
                <w:szCs w:val="20"/>
                <w:lang w:eastAsia="en-US"/>
              </w:rPr>
              <w:t xml:space="preserve"> </w:t>
            </w:r>
            <w:proofErr w:type="spellStart"/>
            <w:r>
              <w:rPr>
                <w:sz w:val="20"/>
                <w:szCs w:val="20"/>
                <w:lang w:eastAsia="en-US"/>
              </w:rPr>
              <w:t>that</w:t>
            </w:r>
            <w:proofErr w:type="spellEnd"/>
            <w:r>
              <w:rPr>
                <w:sz w:val="20"/>
                <w:szCs w:val="20"/>
                <w:lang w:eastAsia="en-US"/>
              </w:rPr>
              <w:t xml:space="preserve"> a </w:t>
            </w:r>
            <w:proofErr w:type="spellStart"/>
            <w:r>
              <w:rPr>
                <w:sz w:val="20"/>
                <w:szCs w:val="20"/>
                <w:lang w:eastAsia="en-US"/>
              </w:rPr>
              <w:t>taxable</w:t>
            </w:r>
            <w:proofErr w:type="spellEnd"/>
            <w:r>
              <w:rPr>
                <w:sz w:val="20"/>
                <w:szCs w:val="20"/>
                <w:lang w:eastAsia="en-US"/>
              </w:rPr>
              <w:t xml:space="preserve"> person </w:t>
            </w:r>
            <w:proofErr w:type="spellStart"/>
            <w:r>
              <w:rPr>
                <w:sz w:val="20"/>
                <w:szCs w:val="20"/>
                <w:lang w:eastAsia="en-US"/>
              </w:rPr>
              <w:t>who</w:t>
            </w:r>
            <w:proofErr w:type="spellEnd"/>
            <w:r>
              <w:rPr>
                <w:sz w:val="20"/>
                <w:szCs w:val="20"/>
                <w:lang w:eastAsia="en-US"/>
              </w:rPr>
              <w:t xml:space="preserve"> has </w:t>
            </w:r>
            <w:proofErr w:type="spellStart"/>
            <w:r>
              <w:rPr>
                <w:sz w:val="20"/>
                <w:szCs w:val="20"/>
                <w:lang w:eastAsia="en-US"/>
              </w:rPr>
              <w:t>established</w:t>
            </w:r>
            <w:proofErr w:type="spellEnd"/>
            <w:r>
              <w:rPr>
                <w:sz w:val="20"/>
                <w:szCs w:val="20"/>
                <w:lang w:eastAsia="en-US"/>
              </w:rPr>
              <w:t xml:space="preserve"> his business in </w:t>
            </w:r>
            <w:proofErr w:type="spellStart"/>
            <w:r>
              <w:rPr>
                <w:sz w:val="20"/>
                <w:szCs w:val="20"/>
                <w:lang w:eastAsia="en-US"/>
              </w:rPr>
              <w:t>one</w:t>
            </w:r>
            <w:proofErr w:type="spellEnd"/>
            <w:r>
              <w:rPr>
                <w:sz w:val="20"/>
                <w:szCs w:val="20"/>
                <w:lang w:eastAsia="en-US"/>
              </w:rPr>
              <w:t xml:space="preserve"> member state </w:t>
            </w:r>
            <w:proofErr w:type="spellStart"/>
            <w:r>
              <w:rPr>
                <w:sz w:val="20"/>
                <w:szCs w:val="20"/>
                <w:lang w:eastAsia="en-US"/>
              </w:rPr>
              <w:t>and</w:t>
            </w:r>
            <w:proofErr w:type="spellEnd"/>
            <w:r>
              <w:rPr>
                <w:sz w:val="20"/>
                <w:szCs w:val="20"/>
                <w:lang w:eastAsia="en-US"/>
              </w:rPr>
              <w:t xml:space="preserve"> </w:t>
            </w:r>
            <w:proofErr w:type="spellStart"/>
            <w:r>
              <w:rPr>
                <w:sz w:val="20"/>
                <w:szCs w:val="20"/>
                <w:lang w:eastAsia="en-US"/>
              </w:rPr>
              <w:t>receives</w:t>
            </w:r>
            <w:proofErr w:type="spellEnd"/>
            <w:r>
              <w:rPr>
                <w:sz w:val="20"/>
                <w:szCs w:val="20"/>
                <w:lang w:eastAsia="en-US"/>
              </w:rPr>
              <w:t xml:space="preserve"> services </w:t>
            </w:r>
            <w:proofErr w:type="spellStart"/>
            <w:r>
              <w:rPr>
                <w:sz w:val="20"/>
                <w:szCs w:val="20"/>
                <w:lang w:eastAsia="en-US"/>
              </w:rPr>
              <w:t>supplied</w:t>
            </w:r>
            <w:proofErr w:type="spellEnd"/>
            <w:r>
              <w:rPr>
                <w:sz w:val="20"/>
                <w:szCs w:val="20"/>
                <w:lang w:eastAsia="en-US"/>
              </w:rPr>
              <w:t xml:space="preserve"> </w:t>
            </w:r>
            <w:proofErr w:type="spellStart"/>
            <w:r>
              <w:rPr>
                <w:sz w:val="20"/>
                <w:szCs w:val="20"/>
                <w:lang w:eastAsia="en-US"/>
              </w:rPr>
              <w:t>by</w:t>
            </w:r>
            <w:proofErr w:type="spellEnd"/>
            <w:r>
              <w:rPr>
                <w:sz w:val="20"/>
                <w:szCs w:val="20"/>
                <w:lang w:eastAsia="en-US"/>
              </w:rPr>
              <w:t xml:space="preserve"> </w:t>
            </w:r>
            <w:proofErr w:type="spellStart"/>
            <w:r>
              <w:rPr>
                <w:sz w:val="20"/>
                <w:szCs w:val="20"/>
                <w:lang w:eastAsia="en-US"/>
              </w:rPr>
              <w:t>another</w:t>
            </w:r>
            <w:proofErr w:type="spellEnd"/>
            <w:r>
              <w:rPr>
                <w:sz w:val="20"/>
                <w:szCs w:val="20"/>
                <w:lang w:eastAsia="en-US"/>
              </w:rPr>
              <w:t xml:space="preserve"> </w:t>
            </w:r>
            <w:proofErr w:type="spellStart"/>
            <w:r>
              <w:rPr>
                <w:sz w:val="20"/>
                <w:szCs w:val="20"/>
                <w:lang w:eastAsia="en-US"/>
              </w:rPr>
              <w:t>taxable</w:t>
            </w:r>
            <w:proofErr w:type="spellEnd"/>
            <w:r>
              <w:rPr>
                <w:sz w:val="20"/>
                <w:szCs w:val="20"/>
                <w:lang w:eastAsia="en-US"/>
              </w:rPr>
              <w:t xml:space="preserve"> person </w:t>
            </w:r>
            <w:proofErr w:type="spellStart"/>
            <w:r>
              <w:rPr>
                <w:sz w:val="20"/>
                <w:szCs w:val="20"/>
                <w:lang w:eastAsia="en-US"/>
              </w:rPr>
              <w:t>established</w:t>
            </w:r>
            <w:proofErr w:type="spellEnd"/>
            <w:r>
              <w:rPr>
                <w:sz w:val="20"/>
                <w:szCs w:val="20"/>
                <w:lang w:eastAsia="en-US"/>
              </w:rPr>
              <w:t xml:space="preserve"> in </w:t>
            </w:r>
            <w:proofErr w:type="spellStart"/>
            <w:r>
              <w:rPr>
                <w:sz w:val="20"/>
                <w:szCs w:val="20"/>
                <w:lang w:eastAsia="en-US"/>
              </w:rPr>
              <w:t>another</w:t>
            </w:r>
            <w:proofErr w:type="spellEnd"/>
            <w:r>
              <w:rPr>
                <w:sz w:val="20"/>
                <w:szCs w:val="20"/>
                <w:lang w:eastAsia="en-US"/>
              </w:rPr>
              <w:t xml:space="preserve"> member state, must </w:t>
            </w:r>
            <w:proofErr w:type="spellStart"/>
            <w:r>
              <w:rPr>
                <w:sz w:val="20"/>
                <w:szCs w:val="20"/>
                <w:lang w:eastAsia="en-US"/>
              </w:rPr>
              <w:t>be</w:t>
            </w:r>
            <w:proofErr w:type="spellEnd"/>
            <w:r>
              <w:rPr>
                <w:sz w:val="20"/>
                <w:szCs w:val="20"/>
                <w:lang w:eastAsia="en-US"/>
              </w:rPr>
              <w:t xml:space="preserve"> </w:t>
            </w:r>
            <w:proofErr w:type="spellStart"/>
            <w:r>
              <w:rPr>
                <w:sz w:val="20"/>
                <w:szCs w:val="20"/>
                <w:lang w:eastAsia="en-US"/>
              </w:rPr>
              <w:t>regarded</w:t>
            </w:r>
            <w:proofErr w:type="spellEnd"/>
            <w:r>
              <w:rPr>
                <w:sz w:val="20"/>
                <w:szCs w:val="20"/>
                <w:lang w:eastAsia="en-US"/>
              </w:rPr>
              <w:t xml:space="preserve"> as </w:t>
            </w:r>
            <w:proofErr w:type="spellStart"/>
            <w:r>
              <w:rPr>
                <w:sz w:val="20"/>
                <w:szCs w:val="20"/>
                <w:lang w:eastAsia="en-US"/>
              </w:rPr>
              <w:t>having</w:t>
            </w:r>
            <w:proofErr w:type="spellEnd"/>
            <w:r>
              <w:rPr>
                <w:sz w:val="20"/>
                <w:szCs w:val="20"/>
                <w:lang w:eastAsia="en-US"/>
              </w:rPr>
              <w:t xml:space="preserve"> a </w:t>
            </w:r>
            <w:proofErr w:type="spellStart"/>
            <w:r>
              <w:rPr>
                <w:sz w:val="20"/>
                <w:szCs w:val="20"/>
                <w:lang w:eastAsia="en-US"/>
              </w:rPr>
              <w:t>fixed</w:t>
            </w:r>
            <w:proofErr w:type="spellEnd"/>
            <w:r>
              <w:rPr>
                <w:sz w:val="20"/>
                <w:szCs w:val="20"/>
                <w:lang w:eastAsia="en-US"/>
              </w:rPr>
              <w:t xml:space="preserve"> establishment in </w:t>
            </w:r>
            <w:proofErr w:type="spellStart"/>
            <w:r>
              <w:rPr>
                <w:sz w:val="20"/>
                <w:szCs w:val="20"/>
                <w:lang w:eastAsia="en-US"/>
              </w:rPr>
              <w:t>that</w:t>
            </w:r>
            <w:proofErr w:type="spellEnd"/>
            <w:r>
              <w:rPr>
                <w:sz w:val="20"/>
                <w:szCs w:val="20"/>
                <w:lang w:eastAsia="en-US"/>
              </w:rPr>
              <w:t xml:space="preserve"> </w:t>
            </w:r>
            <w:proofErr w:type="spellStart"/>
            <w:r>
              <w:rPr>
                <w:sz w:val="20"/>
                <w:szCs w:val="20"/>
                <w:lang w:eastAsia="en-US"/>
              </w:rPr>
              <w:t>other</w:t>
            </w:r>
            <w:proofErr w:type="spellEnd"/>
            <w:r>
              <w:rPr>
                <w:sz w:val="20"/>
                <w:szCs w:val="20"/>
                <w:lang w:eastAsia="en-US"/>
              </w:rPr>
              <w:t xml:space="preserve"> member state </w:t>
            </w:r>
            <w:proofErr w:type="spellStart"/>
            <w:r>
              <w:rPr>
                <w:sz w:val="20"/>
                <w:szCs w:val="20"/>
                <w:lang w:eastAsia="en-US"/>
              </w:rPr>
              <w:t>if</w:t>
            </w:r>
            <w:proofErr w:type="spellEnd"/>
            <w:r>
              <w:rPr>
                <w:sz w:val="20"/>
                <w:szCs w:val="20"/>
                <w:lang w:eastAsia="en-US"/>
              </w:rPr>
              <w:t xml:space="preserve"> </w:t>
            </w:r>
            <w:proofErr w:type="spellStart"/>
            <w:r>
              <w:rPr>
                <w:sz w:val="20"/>
                <w:szCs w:val="20"/>
                <w:lang w:eastAsia="en-US"/>
              </w:rPr>
              <w:t>that</w:t>
            </w:r>
            <w:proofErr w:type="spellEnd"/>
            <w:r>
              <w:rPr>
                <w:sz w:val="20"/>
                <w:szCs w:val="20"/>
                <w:lang w:eastAsia="en-US"/>
              </w:rPr>
              <w:t xml:space="preserve"> establishment is </w:t>
            </w:r>
            <w:proofErr w:type="spellStart"/>
            <w:r>
              <w:rPr>
                <w:sz w:val="20"/>
                <w:szCs w:val="20"/>
                <w:lang w:eastAsia="en-US"/>
              </w:rPr>
              <w:t>characterised</w:t>
            </w:r>
            <w:proofErr w:type="spellEnd"/>
            <w:r>
              <w:rPr>
                <w:sz w:val="20"/>
                <w:szCs w:val="20"/>
                <w:lang w:eastAsia="en-US"/>
              </w:rPr>
              <w:t xml:space="preserve"> </w:t>
            </w:r>
            <w:proofErr w:type="spellStart"/>
            <w:r>
              <w:rPr>
                <w:sz w:val="20"/>
                <w:szCs w:val="20"/>
                <w:lang w:eastAsia="en-US"/>
              </w:rPr>
              <w:t>by</w:t>
            </w:r>
            <w:proofErr w:type="spellEnd"/>
            <w:r>
              <w:rPr>
                <w:sz w:val="20"/>
                <w:szCs w:val="20"/>
                <w:lang w:eastAsia="en-US"/>
              </w:rPr>
              <w:t xml:space="preserve"> a </w:t>
            </w:r>
            <w:proofErr w:type="spellStart"/>
            <w:r>
              <w:rPr>
                <w:sz w:val="20"/>
                <w:szCs w:val="20"/>
                <w:lang w:eastAsia="en-US"/>
              </w:rPr>
              <w:t>sufficient</w:t>
            </w:r>
            <w:proofErr w:type="spellEnd"/>
            <w:r>
              <w:rPr>
                <w:sz w:val="20"/>
                <w:szCs w:val="20"/>
                <w:lang w:eastAsia="en-US"/>
              </w:rPr>
              <w:t xml:space="preserve"> </w:t>
            </w:r>
            <w:proofErr w:type="spellStart"/>
            <w:r>
              <w:rPr>
                <w:sz w:val="20"/>
                <w:szCs w:val="20"/>
                <w:lang w:eastAsia="en-US"/>
              </w:rPr>
              <w:t>degree</w:t>
            </w:r>
            <w:proofErr w:type="spellEnd"/>
            <w:r>
              <w:rPr>
                <w:sz w:val="20"/>
                <w:szCs w:val="20"/>
                <w:lang w:eastAsia="en-US"/>
              </w:rPr>
              <w:t xml:space="preserve"> of </w:t>
            </w:r>
            <w:proofErr w:type="spellStart"/>
            <w:r>
              <w:rPr>
                <w:sz w:val="20"/>
                <w:szCs w:val="20"/>
                <w:lang w:eastAsia="en-US"/>
              </w:rPr>
              <w:t>permanence</w:t>
            </w:r>
            <w:proofErr w:type="spellEnd"/>
            <w:r>
              <w:rPr>
                <w:sz w:val="20"/>
                <w:szCs w:val="20"/>
                <w:lang w:eastAsia="en-US"/>
              </w:rPr>
              <w:t xml:space="preserve"> </w:t>
            </w:r>
            <w:proofErr w:type="spellStart"/>
            <w:r>
              <w:rPr>
                <w:sz w:val="20"/>
                <w:szCs w:val="20"/>
                <w:lang w:eastAsia="en-US"/>
              </w:rPr>
              <w:t>and</w:t>
            </w:r>
            <w:proofErr w:type="spellEnd"/>
            <w:r>
              <w:rPr>
                <w:sz w:val="20"/>
                <w:szCs w:val="20"/>
                <w:lang w:eastAsia="en-US"/>
              </w:rPr>
              <w:t xml:space="preserve"> a </w:t>
            </w:r>
            <w:proofErr w:type="spellStart"/>
            <w:r>
              <w:rPr>
                <w:sz w:val="20"/>
                <w:szCs w:val="20"/>
                <w:lang w:eastAsia="en-US"/>
              </w:rPr>
              <w:t>suitable</w:t>
            </w:r>
            <w:proofErr w:type="spellEnd"/>
            <w:r>
              <w:rPr>
                <w:sz w:val="20"/>
                <w:szCs w:val="20"/>
                <w:lang w:eastAsia="en-US"/>
              </w:rPr>
              <w:t xml:space="preserve"> </w:t>
            </w:r>
            <w:proofErr w:type="spellStart"/>
            <w:r>
              <w:rPr>
                <w:sz w:val="20"/>
                <w:szCs w:val="20"/>
                <w:lang w:eastAsia="en-US"/>
              </w:rPr>
              <w:t>structure</w:t>
            </w:r>
            <w:proofErr w:type="spellEnd"/>
            <w:r>
              <w:rPr>
                <w:sz w:val="20"/>
                <w:szCs w:val="20"/>
                <w:lang w:eastAsia="en-US"/>
              </w:rPr>
              <w:t xml:space="preserve"> in </w:t>
            </w:r>
            <w:proofErr w:type="spellStart"/>
            <w:r>
              <w:rPr>
                <w:sz w:val="20"/>
                <w:szCs w:val="20"/>
                <w:lang w:eastAsia="en-US"/>
              </w:rPr>
              <w:t>terms</w:t>
            </w:r>
            <w:proofErr w:type="spellEnd"/>
            <w:r>
              <w:rPr>
                <w:sz w:val="20"/>
                <w:szCs w:val="20"/>
                <w:lang w:eastAsia="en-US"/>
              </w:rPr>
              <w:t xml:space="preserve"> of human </w:t>
            </w:r>
            <w:proofErr w:type="spellStart"/>
            <w:r>
              <w:rPr>
                <w:sz w:val="20"/>
                <w:szCs w:val="20"/>
                <w:lang w:eastAsia="en-US"/>
              </w:rPr>
              <w:t>and</w:t>
            </w:r>
            <w:proofErr w:type="spellEnd"/>
            <w:r>
              <w:rPr>
                <w:sz w:val="20"/>
                <w:szCs w:val="20"/>
                <w:lang w:eastAsia="en-US"/>
              </w:rPr>
              <w:t xml:space="preserve"> </w:t>
            </w:r>
            <w:proofErr w:type="spellStart"/>
            <w:r>
              <w:rPr>
                <w:sz w:val="20"/>
                <w:szCs w:val="20"/>
                <w:lang w:eastAsia="en-US"/>
              </w:rPr>
              <w:t>technical</w:t>
            </w:r>
            <w:proofErr w:type="spellEnd"/>
            <w:r>
              <w:rPr>
                <w:sz w:val="20"/>
                <w:szCs w:val="20"/>
                <w:lang w:eastAsia="en-US"/>
              </w:rPr>
              <w:t xml:space="preserve"> resources </w:t>
            </w:r>
            <w:proofErr w:type="spellStart"/>
            <w:r>
              <w:rPr>
                <w:sz w:val="20"/>
                <w:szCs w:val="20"/>
                <w:lang w:eastAsia="en-US"/>
              </w:rPr>
              <w:t>to</w:t>
            </w:r>
            <w:proofErr w:type="spellEnd"/>
            <w:r>
              <w:rPr>
                <w:sz w:val="20"/>
                <w:szCs w:val="20"/>
                <w:lang w:eastAsia="en-US"/>
              </w:rPr>
              <w:t xml:space="preserve"> </w:t>
            </w:r>
            <w:proofErr w:type="spellStart"/>
            <w:r>
              <w:rPr>
                <w:sz w:val="20"/>
                <w:szCs w:val="20"/>
                <w:lang w:eastAsia="en-US"/>
              </w:rPr>
              <w:t>enable</w:t>
            </w:r>
            <w:proofErr w:type="spellEnd"/>
            <w:r>
              <w:rPr>
                <w:sz w:val="20"/>
                <w:szCs w:val="20"/>
                <w:lang w:eastAsia="en-US"/>
              </w:rPr>
              <w:t xml:space="preserve"> </w:t>
            </w:r>
            <w:proofErr w:type="spellStart"/>
            <w:r>
              <w:rPr>
                <w:sz w:val="20"/>
                <w:szCs w:val="20"/>
                <w:lang w:eastAsia="en-US"/>
              </w:rPr>
              <w:t>it</w:t>
            </w:r>
            <w:proofErr w:type="spellEnd"/>
            <w:r>
              <w:rPr>
                <w:sz w:val="20"/>
                <w:szCs w:val="20"/>
                <w:lang w:eastAsia="en-US"/>
              </w:rPr>
              <w:t xml:space="preserve"> </w:t>
            </w:r>
            <w:proofErr w:type="spellStart"/>
            <w:r>
              <w:rPr>
                <w:sz w:val="20"/>
                <w:szCs w:val="20"/>
                <w:lang w:eastAsia="en-US"/>
              </w:rPr>
              <w:t>to</w:t>
            </w:r>
            <w:proofErr w:type="spellEnd"/>
            <w:r>
              <w:rPr>
                <w:sz w:val="20"/>
                <w:szCs w:val="20"/>
                <w:lang w:eastAsia="en-US"/>
              </w:rPr>
              <w:t xml:space="preserve"> </w:t>
            </w:r>
            <w:proofErr w:type="spellStart"/>
            <w:r>
              <w:rPr>
                <w:sz w:val="20"/>
                <w:szCs w:val="20"/>
                <w:lang w:eastAsia="en-US"/>
              </w:rPr>
              <w:t>receive</w:t>
            </w:r>
            <w:proofErr w:type="spellEnd"/>
            <w:r>
              <w:rPr>
                <w:sz w:val="20"/>
                <w:szCs w:val="20"/>
                <w:lang w:eastAsia="en-US"/>
              </w:rPr>
              <w:t xml:space="preserve"> the services </w:t>
            </w:r>
            <w:proofErr w:type="spellStart"/>
            <w:r>
              <w:rPr>
                <w:sz w:val="20"/>
                <w:szCs w:val="20"/>
                <w:lang w:eastAsia="en-US"/>
              </w:rPr>
              <w:t>supplied</w:t>
            </w:r>
            <w:proofErr w:type="spellEnd"/>
            <w:r>
              <w:rPr>
                <w:sz w:val="20"/>
                <w:szCs w:val="20"/>
                <w:lang w:eastAsia="en-US"/>
              </w:rPr>
              <w:t xml:space="preserve"> </w:t>
            </w:r>
            <w:proofErr w:type="spellStart"/>
            <w:r>
              <w:rPr>
                <w:sz w:val="20"/>
                <w:szCs w:val="20"/>
                <w:lang w:eastAsia="en-US"/>
              </w:rPr>
              <w:t>to</w:t>
            </w:r>
            <w:proofErr w:type="spellEnd"/>
            <w:r>
              <w:rPr>
                <w:sz w:val="20"/>
                <w:szCs w:val="20"/>
                <w:lang w:eastAsia="en-US"/>
              </w:rPr>
              <w:t xml:space="preserve"> </w:t>
            </w:r>
            <w:proofErr w:type="spellStart"/>
            <w:r>
              <w:rPr>
                <w:sz w:val="20"/>
                <w:szCs w:val="20"/>
                <w:lang w:eastAsia="en-US"/>
              </w:rPr>
              <w:t>it</w:t>
            </w:r>
            <w:proofErr w:type="spellEnd"/>
            <w:r>
              <w:rPr>
                <w:sz w:val="20"/>
                <w:szCs w:val="20"/>
                <w:lang w:eastAsia="en-US"/>
              </w:rPr>
              <w:t xml:space="preserve"> </w:t>
            </w:r>
            <w:proofErr w:type="spellStart"/>
            <w:r>
              <w:rPr>
                <w:sz w:val="20"/>
                <w:szCs w:val="20"/>
                <w:lang w:eastAsia="en-US"/>
              </w:rPr>
              <w:t>and</w:t>
            </w:r>
            <w:proofErr w:type="spellEnd"/>
            <w:r>
              <w:rPr>
                <w:sz w:val="20"/>
                <w:szCs w:val="20"/>
                <w:lang w:eastAsia="en-US"/>
              </w:rPr>
              <w:t xml:space="preserve"> </w:t>
            </w:r>
            <w:proofErr w:type="spellStart"/>
            <w:r>
              <w:rPr>
                <w:sz w:val="20"/>
                <w:szCs w:val="20"/>
                <w:lang w:eastAsia="en-US"/>
              </w:rPr>
              <w:t>use</w:t>
            </w:r>
            <w:proofErr w:type="spellEnd"/>
            <w:r>
              <w:rPr>
                <w:sz w:val="20"/>
                <w:szCs w:val="20"/>
                <w:lang w:eastAsia="en-US"/>
              </w:rPr>
              <w:t xml:space="preserve"> </w:t>
            </w:r>
            <w:proofErr w:type="spellStart"/>
            <w:r>
              <w:rPr>
                <w:sz w:val="20"/>
                <w:szCs w:val="20"/>
                <w:lang w:eastAsia="en-US"/>
              </w:rPr>
              <w:t>them</w:t>
            </w:r>
            <w:proofErr w:type="spellEnd"/>
            <w:r>
              <w:rPr>
                <w:sz w:val="20"/>
                <w:szCs w:val="20"/>
                <w:lang w:eastAsia="en-US"/>
              </w:rPr>
              <w:t xml:space="preserve"> </w:t>
            </w:r>
            <w:proofErr w:type="spellStart"/>
            <w:r>
              <w:rPr>
                <w:sz w:val="20"/>
                <w:szCs w:val="20"/>
                <w:lang w:eastAsia="en-US"/>
              </w:rPr>
              <w:t>for</w:t>
            </w:r>
            <w:proofErr w:type="spellEnd"/>
            <w:r>
              <w:rPr>
                <w:sz w:val="20"/>
                <w:szCs w:val="20"/>
                <w:lang w:eastAsia="en-US"/>
              </w:rPr>
              <w:t xml:space="preserve"> </w:t>
            </w:r>
            <w:proofErr w:type="spellStart"/>
            <w:r>
              <w:rPr>
                <w:sz w:val="20"/>
                <w:szCs w:val="20"/>
                <w:lang w:eastAsia="en-US"/>
              </w:rPr>
              <w:t>its</w:t>
            </w:r>
            <w:proofErr w:type="spellEnd"/>
            <w:r>
              <w:rPr>
                <w:sz w:val="20"/>
                <w:szCs w:val="20"/>
                <w:lang w:eastAsia="en-US"/>
              </w:rPr>
              <w:t xml:space="preserve"> business, </w:t>
            </w:r>
            <w:proofErr w:type="spellStart"/>
            <w:r>
              <w:rPr>
                <w:sz w:val="20"/>
                <w:szCs w:val="20"/>
                <w:lang w:eastAsia="en-US"/>
              </w:rPr>
              <w:t>which</w:t>
            </w:r>
            <w:proofErr w:type="spellEnd"/>
            <w:r>
              <w:rPr>
                <w:sz w:val="20"/>
                <w:szCs w:val="20"/>
                <w:lang w:eastAsia="en-US"/>
              </w:rPr>
              <w:t xml:space="preserve"> is </w:t>
            </w:r>
            <w:proofErr w:type="spellStart"/>
            <w:r>
              <w:rPr>
                <w:sz w:val="20"/>
                <w:szCs w:val="20"/>
                <w:lang w:eastAsia="en-US"/>
              </w:rPr>
              <w:t>for</w:t>
            </w:r>
            <w:proofErr w:type="spellEnd"/>
            <w:r>
              <w:rPr>
                <w:sz w:val="20"/>
                <w:szCs w:val="20"/>
                <w:lang w:eastAsia="en-US"/>
              </w:rPr>
              <w:t xml:space="preserve"> the </w:t>
            </w:r>
            <w:proofErr w:type="spellStart"/>
            <w:r>
              <w:rPr>
                <w:sz w:val="20"/>
                <w:szCs w:val="20"/>
                <w:lang w:eastAsia="en-US"/>
              </w:rPr>
              <w:t>referring</w:t>
            </w:r>
            <w:proofErr w:type="spellEnd"/>
            <w:r>
              <w:rPr>
                <w:sz w:val="20"/>
                <w:szCs w:val="20"/>
                <w:lang w:eastAsia="en-US"/>
              </w:rPr>
              <w:t xml:space="preserve"> court </w:t>
            </w:r>
            <w:proofErr w:type="spellStart"/>
            <w:r>
              <w:rPr>
                <w:sz w:val="20"/>
                <w:szCs w:val="20"/>
                <w:lang w:eastAsia="en-US"/>
              </w:rPr>
              <w:t>to</w:t>
            </w:r>
            <w:proofErr w:type="spellEnd"/>
            <w:r>
              <w:rPr>
                <w:sz w:val="20"/>
                <w:szCs w:val="20"/>
                <w:lang w:eastAsia="en-US"/>
              </w:rPr>
              <w:t xml:space="preserve"> </w:t>
            </w:r>
            <w:proofErr w:type="spellStart"/>
            <w:r>
              <w:rPr>
                <w:sz w:val="20"/>
                <w:szCs w:val="20"/>
                <w:lang w:eastAsia="en-US"/>
              </w:rPr>
              <w:t>ascertain</w:t>
            </w:r>
            <w:proofErr w:type="spellEnd"/>
            <w:r>
              <w:rPr>
                <w:sz w:val="20"/>
                <w:szCs w:val="20"/>
                <w:lang w:eastAsia="en-US"/>
              </w:rPr>
              <w:t>.</w:t>
            </w:r>
          </w:p>
          <w:p w:rsidR="005E3B95" w:rsidRDefault="005E3B95">
            <w:pPr>
              <w:pStyle w:val="Lijstalinea"/>
              <w:spacing w:line="276" w:lineRule="auto"/>
              <w:ind w:left="644"/>
              <w:jc w:val="both"/>
              <w:rPr>
                <w:sz w:val="20"/>
                <w:szCs w:val="20"/>
                <w:lang w:val="en-US" w:eastAsia="en-US"/>
              </w:rPr>
            </w:pPr>
          </w:p>
          <w:p w:rsidR="005E3B95" w:rsidRDefault="005E3B95" w:rsidP="002549E1">
            <w:pPr>
              <w:pStyle w:val="Lijstalinea"/>
              <w:numPr>
                <w:ilvl w:val="0"/>
                <w:numId w:val="3"/>
              </w:numPr>
              <w:spacing w:line="276" w:lineRule="auto"/>
              <w:jc w:val="both"/>
              <w:rPr>
                <w:sz w:val="20"/>
                <w:szCs w:val="20"/>
                <w:lang w:val="en-US" w:eastAsia="en-US"/>
              </w:rPr>
            </w:pPr>
            <w:hyperlink r:id="rId16" w:history="1">
              <w:r>
                <w:rPr>
                  <w:rStyle w:val="Hyperlink"/>
                  <w:sz w:val="20"/>
                  <w:szCs w:val="20"/>
                  <w:lang w:val="en-US" w:eastAsia="en-US"/>
                </w:rPr>
                <w:t>Judgment</w:t>
              </w:r>
            </w:hyperlink>
          </w:p>
          <w:p w:rsidR="005E3B95" w:rsidRDefault="005E3B95" w:rsidP="002549E1">
            <w:pPr>
              <w:pStyle w:val="Lijstalinea"/>
              <w:numPr>
                <w:ilvl w:val="0"/>
                <w:numId w:val="3"/>
              </w:numPr>
              <w:spacing w:line="276" w:lineRule="auto"/>
              <w:jc w:val="both"/>
              <w:rPr>
                <w:sz w:val="20"/>
                <w:szCs w:val="20"/>
                <w:lang w:val="en-US" w:eastAsia="en-US"/>
              </w:rPr>
            </w:pPr>
            <w:hyperlink r:id="rId17" w:history="1">
              <w:r>
                <w:rPr>
                  <w:rStyle w:val="Hyperlink"/>
                  <w:sz w:val="20"/>
                  <w:szCs w:val="20"/>
                  <w:lang w:val="en-US" w:eastAsia="en-US"/>
                </w:rPr>
                <w:t xml:space="preserve">Opinion by Advocate-General </w:t>
              </w:r>
              <w:proofErr w:type="spellStart"/>
              <w:r>
                <w:rPr>
                  <w:rStyle w:val="Hyperlink"/>
                  <w:sz w:val="20"/>
                  <w:szCs w:val="20"/>
                  <w:lang w:val="en-US" w:eastAsia="en-US"/>
                </w:rPr>
                <w:t>Kokott</w:t>
              </w:r>
              <w:proofErr w:type="spellEnd"/>
            </w:hyperlink>
          </w:p>
          <w:p w:rsidR="005E3B95" w:rsidRDefault="005E3B95">
            <w:pPr>
              <w:pStyle w:val="Lijstalinea"/>
              <w:spacing w:line="276" w:lineRule="auto"/>
              <w:ind w:left="644"/>
              <w:jc w:val="both"/>
              <w:rPr>
                <w:sz w:val="20"/>
                <w:szCs w:val="20"/>
                <w:lang w:val="en-US" w:eastAsia="en-US"/>
              </w:rPr>
            </w:pPr>
          </w:p>
          <w:p w:rsidR="005E3B95" w:rsidRDefault="005E3B95">
            <w:pPr>
              <w:spacing w:line="276" w:lineRule="auto"/>
              <w:jc w:val="center"/>
              <w:rPr>
                <w:rFonts w:ascii="Calibri" w:hAnsi="Calibri"/>
                <w:sz w:val="20"/>
                <w:szCs w:val="20"/>
                <w:lang w:eastAsia="en-US"/>
              </w:rPr>
            </w:pPr>
            <w:r>
              <w:rPr>
                <w:rFonts w:ascii="Calibri" w:hAnsi="Calibri"/>
                <w:sz w:val="20"/>
                <w:szCs w:val="20"/>
                <w:lang w:eastAsia="en-US"/>
              </w:rPr>
              <w:t>*****</w:t>
            </w:r>
          </w:p>
          <w:p w:rsidR="005E3B95" w:rsidRDefault="005E3B95">
            <w:pPr>
              <w:spacing w:line="276" w:lineRule="auto"/>
              <w:jc w:val="both"/>
              <w:rPr>
                <w:rFonts w:ascii="Calibri" w:hAnsi="Calibri"/>
                <w:sz w:val="20"/>
                <w:szCs w:val="20"/>
                <w:lang w:eastAsia="en-US"/>
              </w:rPr>
            </w:pPr>
          </w:p>
          <w:p w:rsidR="005E3B95" w:rsidRDefault="005E3B95">
            <w:pPr>
              <w:pStyle w:val="Lijstalinea"/>
              <w:spacing w:line="276" w:lineRule="auto"/>
              <w:ind w:left="126"/>
              <w:jc w:val="center"/>
              <w:rPr>
                <w:i/>
                <w:iCs/>
                <w:sz w:val="20"/>
                <w:szCs w:val="20"/>
                <w:lang w:eastAsia="en-US"/>
              </w:rPr>
            </w:pPr>
            <w:r>
              <w:rPr>
                <w:i/>
                <w:iCs/>
                <w:sz w:val="20"/>
                <w:szCs w:val="20"/>
                <w:lang w:eastAsia="en-US"/>
              </w:rPr>
              <w:t xml:space="preserve">The </w:t>
            </w:r>
            <w:proofErr w:type="spellStart"/>
            <w:r>
              <w:rPr>
                <w:i/>
                <w:iCs/>
                <w:sz w:val="20"/>
                <w:szCs w:val="20"/>
                <w:lang w:eastAsia="en-US"/>
              </w:rPr>
              <w:t>selection</w:t>
            </w:r>
            <w:proofErr w:type="spellEnd"/>
            <w:r>
              <w:rPr>
                <w:i/>
                <w:iCs/>
                <w:sz w:val="20"/>
                <w:szCs w:val="20"/>
                <w:lang w:eastAsia="en-US"/>
              </w:rPr>
              <w:t xml:space="preserve"> of the </w:t>
            </w:r>
            <w:proofErr w:type="spellStart"/>
            <w:r>
              <w:rPr>
                <w:i/>
                <w:iCs/>
                <w:sz w:val="20"/>
                <w:szCs w:val="20"/>
                <w:lang w:eastAsia="en-US"/>
              </w:rPr>
              <w:t>remitted</w:t>
            </w:r>
            <w:proofErr w:type="spellEnd"/>
            <w:r>
              <w:rPr>
                <w:i/>
                <w:iCs/>
                <w:sz w:val="20"/>
                <w:szCs w:val="20"/>
                <w:lang w:eastAsia="en-US"/>
              </w:rPr>
              <w:t xml:space="preserve"> </w:t>
            </w:r>
            <w:proofErr w:type="spellStart"/>
            <w:r>
              <w:rPr>
                <w:i/>
                <w:iCs/>
                <w:sz w:val="20"/>
                <w:szCs w:val="20"/>
                <w:lang w:eastAsia="en-US"/>
              </w:rPr>
              <w:t>material</w:t>
            </w:r>
            <w:proofErr w:type="spellEnd"/>
            <w:r>
              <w:rPr>
                <w:i/>
                <w:iCs/>
                <w:sz w:val="20"/>
                <w:szCs w:val="20"/>
                <w:lang w:eastAsia="en-US"/>
              </w:rPr>
              <w:t xml:space="preserve"> has been </w:t>
            </w:r>
            <w:proofErr w:type="spellStart"/>
            <w:r>
              <w:rPr>
                <w:i/>
                <w:iCs/>
                <w:sz w:val="20"/>
                <w:szCs w:val="20"/>
                <w:lang w:eastAsia="en-US"/>
              </w:rPr>
              <w:t>prepared</w:t>
            </w:r>
            <w:proofErr w:type="spellEnd"/>
            <w:r>
              <w:rPr>
                <w:i/>
                <w:iCs/>
                <w:sz w:val="20"/>
                <w:szCs w:val="20"/>
                <w:lang w:eastAsia="en-US"/>
              </w:rPr>
              <w:t xml:space="preserve"> </w:t>
            </w:r>
            <w:proofErr w:type="spellStart"/>
            <w:r>
              <w:rPr>
                <w:i/>
                <w:iCs/>
                <w:sz w:val="20"/>
                <w:szCs w:val="20"/>
                <w:lang w:eastAsia="en-US"/>
              </w:rPr>
              <w:t>by</w:t>
            </w:r>
            <w:proofErr w:type="spellEnd"/>
            <w:r>
              <w:rPr>
                <w:i/>
                <w:iCs/>
                <w:sz w:val="20"/>
                <w:szCs w:val="20"/>
                <w:lang w:eastAsia="en-US"/>
              </w:rPr>
              <w:t xml:space="preserve"> </w:t>
            </w:r>
            <w:proofErr w:type="spellStart"/>
            <w:r>
              <w:rPr>
                <w:i/>
                <w:iCs/>
                <w:sz w:val="20"/>
                <w:szCs w:val="20"/>
                <w:lang w:eastAsia="en-US"/>
              </w:rPr>
              <w:t>Piergiorgio</w:t>
            </w:r>
            <w:proofErr w:type="spellEnd"/>
            <w:r>
              <w:rPr>
                <w:i/>
                <w:iCs/>
                <w:sz w:val="20"/>
                <w:szCs w:val="20"/>
                <w:lang w:eastAsia="en-US"/>
              </w:rPr>
              <w:t xml:space="preserve"> </w:t>
            </w:r>
            <w:proofErr w:type="spellStart"/>
            <w:r>
              <w:rPr>
                <w:i/>
                <w:iCs/>
                <w:sz w:val="20"/>
                <w:szCs w:val="20"/>
                <w:lang w:eastAsia="en-US"/>
              </w:rPr>
              <w:t>Valente</w:t>
            </w:r>
            <w:proofErr w:type="spellEnd"/>
            <w:r>
              <w:rPr>
                <w:i/>
                <w:iCs/>
                <w:sz w:val="20"/>
                <w:szCs w:val="20"/>
                <w:lang w:eastAsia="en-US"/>
              </w:rPr>
              <w:t xml:space="preserve"> / </w:t>
            </w:r>
            <w:proofErr w:type="spellStart"/>
            <w:r>
              <w:rPr>
                <w:i/>
                <w:iCs/>
                <w:sz w:val="20"/>
                <w:szCs w:val="20"/>
                <w:lang w:eastAsia="en-US"/>
              </w:rPr>
              <w:t>Filipa</w:t>
            </w:r>
            <w:proofErr w:type="spellEnd"/>
            <w:r>
              <w:rPr>
                <w:i/>
                <w:iCs/>
                <w:sz w:val="20"/>
                <w:szCs w:val="20"/>
                <w:lang w:eastAsia="en-US"/>
              </w:rPr>
              <w:t xml:space="preserve"> </w:t>
            </w:r>
            <w:proofErr w:type="spellStart"/>
            <w:r>
              <w:rPr>
                <w:i/>
                <w:iCs/>
                <w:sz w:val="20"/>
                <w:szCs w:val="20"/>
                <w:lang w:eastAsia="en-US"/>
              </w:rPr>
              <w:t>Correia</w:t>
            </w:r>
            <w:proofErr w:type="spellEnd"/>
            <w:r>
              <w:rPr>
                <w:i/>
                <w:iCs/>
                <w:sz w:val="20"/>
                <w:szCs w:val="20"/>
                <w:lang w:eastAsia="en-US"/>
              </w:rPr>
              <w:t xml:space="preserve"> / Rudolf </w:t>
            </w:r>
            <w:proofErr w:type="spellStart"/>
            <w:r>
              <w:rPr>
                <w:i/>
                <w:iCs/>
                <w:sz w:val="20"/>
                <w:szCs w:val="20"/>
                <w:lang w:eastAsia="en-US"/>
              </w:rPr>
              <w:t>Reibel</w:t>
            </w:r>
            <w:proofErr w:type="spellEnd"/>
          </w:p>
          <w:p w:rsidR="005E3B95" w:rsidRDefault="005E3B95">
            <w:pPr>
              <w:pStyle w:val="Lijstalinea"/>
              <w:spacing w:line="276" w:lineRule="auto"/>
              <w:ind w:left="126"/>
              <w:jc w:val="center"/>
              <w:rPr>
                <w:i/>
                <w:iCs/>
                <w:sz w:val="20"/>
                <w:szCs w:val="20"/>
                <w:lang w:eastAsia="en-US"/>
              </w:rPr>
            </w:pPr>
          </w:p>
          <w:p w:rsidR="005E3B95" w:rsidRDefault="005E3B95">
            <w:pPr>
              <w:pStyle w:val="Lijstalinea"/>
              <w:spacing w:line="276" w:lineRule="auto"/>
              <w:ind w:left="126"/>
              <w:jc w:val="center"/>
              <w:rPr>
                <w:rStyle w:val="Hyperlink"/>
                <w:lang w:eastAsia="fr-BE"/>
              </w:rPr>
            </w:pPr>
            <w:hyperlink r:id="rId18" w:history="1">
              <w:r>
                <w:rPr>
                  <w:rStyle w:val="Hyperlink"/>
                  <w:i/>
                  <w:iCs/>
                  <w:sz w:val="20"/>
                  <w:szCs w:val="20"/>
                </w:rPr>
                <w:t>www.cfe-eutax.org</w:t>
              </w:r>
            </w:hyperlink>
          </w:p>
          <w:p w:rsidR="005E3B95" w:rsidRDefault="005E3B95">
            <w:pPr>
              <w:pStyle w:val="Lijstalinea"/>
              <w:spacing w:line="276" w:lineRule="auto"/>
              <w:ind w:left="126"/>
              <w:jc w:val="center"/>
              <w:rPr>
                <w:rStyle w:val="Hyperlink"/>
                <w:i/>
                <w:iCs/>
                <w:sz w:val="20"/>
                <w:szCs w:val="20"/>
              </w:rPr>
            </w:pPr>
          </w:p>
          <w:p w:rsidR="005E3B95" w:rsidRDefault="005E3B95">
            <w:pPr>
              <w:pStyle w:val="Lijstalinea"/>
              <w:spacing w:line="276" w:lineRule="auto"/>
              <w:ind w:left="126"/>
              <w:jc w:val="center"/>
              <w:rPr>
                <w:lang w:eastAsia="fr-BE"/>
              </w:rPr>
            </w:pPr>
            <w:r>
              <w:rPr>
                <w:i/>
                <w:iCs/>
                <w:sz w:val="20"/>
                <w:szCs w:val="20"/>
                <w:lang w:val="en-US"/>
              </w:rPr>
              <w:t xml:space="preserve">Follow us on </w:t>
            </w:r>
            <w:hyperlink r:id="rId19" w:history="1">
              <w:r>
                <w:rPr>
                  <w:rStyle w:val="Hyperlink"/>
                  <w:sz w:val="20"/>
                  <w:szCs w:val="20"/>
                  <w:lang w:val="en-US"/>
                </w:rPr>
                <w:t>Linked in</w:t>
              </w:r>
            </w:hyperlink>
            <w:r>
              <w:rPr>
                <w:sz w:val="20"/>
                <w:szCs w:val="20"/>
              </w:rPr>
              <w:t xml:space="preserve"> </w:t>
            </w:r>
            <w:r>
              <w:rPr>
                <w:noProof/>
                <w:sz w:val="20"/>
                <w:szCs w:val="20"/>
              </w:rPr>
              <w:drawing>
                <wp:inline distT="0" distB="0" distL="0" distR="0">
                  <wp:extent cx="200025" cy="190500"/>
                  <wp:effectExtent l="0" t="0" r="9525" b="0"/>
                  <wp:docPr id="1" name="Afbeelding 1" descr="cid:image004.png@01CFAA5C.15EA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CFAA5C.15EA181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i/>
                <w:iCs/>
                <w:sz w:val="20"/>
                <w:szCs w:val="20"/>
                <w:lang w:val="en-US"/>
              </w:rPr>
              <w:t>  </w:t>
            </w:r>
          </w:p>
        </w:tc>
      </w:tr>
      <w:tr w:rsidR="005E3B95" w:rsidTr="005E3B95">
        <w:trPr>
          <w:tblCellSpacing w:w="0" w:type="dxa"/>
        </w:trPr>
        <w:tc>
          <w:tcPr>
            <w:tcW w:w="8154" w:type="dxa"/>
            <w:tcBorders>
              <w:top w:val="nil"/>
              <w:left w:val="nil"/>
              <w:bottom w:val="nil"/>
              <w:right w:val="nil"/>
            </w:tcBorders>
            <w:vAlign w:val="center"/>
            <w:hideMark/>
          </w:tcPr>
          <w:tbl>
            <w:tblPr>
              <w:tblW w:w="0" w:type="auto"/>
              <w:tblCellSpacing w:w="0" w:type="dxa"/>
              <w:tblCellMar>
                <w:left w:w="0" w:type="dxa"/>
                <w:right w:w="0" w:type="dxa"/>
              </w:tblCellMar>
              <w:tblLook w:val="04A0" w:firstRow="1" w:lastRow="0" w:firstColumn="1" w:lastColumn="0" w:noHBand="0" w:noVBand="1"/>
            </w:tblPr>
            <w:tblGrid>
              <w:gridCol w:w="50"/>
            </w:tblGrid>
            <w:tr w:rsidR="005E3B95">
              <w:trPr>
                <w:tblCellSpacing w:w="0" w:type="dxa"/>
              </w:trPr>
              <w:tc>
                <w:tcPr>
                  <w:tcW w:w="0" w:type="auto"/>
                  <w:vAlign w:val="center"/>
                  <w:hideMark/>
                </w:tcPr>
                <w:p w:rsidR="005E3B95" w:rsidRDefault="005E3B95">
                  <w:pPr>
                    <w:spacing w:line="276" w:lineRule="auto"/>
                    <w:rPr>
                      <w:rFonts w:ascii="Calibri" w:hAnsi="Calibri"/>
                      <w:sz w:val="22"/>
                      <w:szCs w:val="22"/>
                      <w:lang w:eastAsia="en-US"/>
                    </w:rPr>
                  </w:pPr>
                  <w:r>
                    <w:rPr>
                      <w:rFonts w:ascii="Calibri" w:hAnsi="Calibri"/>
                      <w:sz w:val="22"/>
                      <w:szCs w:val="22"/>
                      <w:lang w:eastAsia="en-US"/>
                    </w:rPr>
                    <w:lastRenderedPageBreak/>
                    <w:t> </w:t>
                  </w:r>
                </w:p>
              </w:tc>
            </w:tr>
            <w:tr w:rsidR="005E3B95">
              <w:trPr>
                <w:tblCellSpacing w:w="0" w:type="dxa"/>
              </w:trPr>
              <w:tc>
                <w:tcPr>
                  <w:tcW w:w="0" w:type="auto"/>
                  <w:vAlign w:val="center"/>
                </w:tcPr>
                <w:p w:rsidR="005E3B95" w:rsidRDefault="005E3B95">
                  <w:pPr>
                    <w:spacing w:line="276" w:lineRule="auto"/>
                    <w:rPr>
                      <w:rFonts w:ascii="Calibri" w:hAnsi="Calibri"/>
                      <w:sz w:val="22"/>
                      <w:szCs w:val="22"/>
                      <w:lang w:eastAsia="en-US"/>
                    </w:rPr>
                  </w:pPr>
                </w:p>
              </w:tc>
            </w:tr>
          </w:tbl>
          <w:p w:rsidR="005E3B95" w:rsidRDefault="005E3B95">
            <w:pPr>
              <w:rPr>
                <w:rFonts w:eastAsia="Times New Roman"/>
                <w:sz w:val="20"/>
                <w:szCs w:val="20"/>
              </w:rPr>
            </w:pPr>
          </w:p>
        </w:tc>
      </w:tr>
    </w:tbl>
    <w:p w:rsidR="00667086" w:rsidRDefault="00667086">
      <w:bookmarkStart w:id="0" w:name="_GoBack"/>
      <w:bookmarkEnd w:id="0"/>
    </w:p>
    <w:sectPr w:rsidR="006670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66D8"/>
    <w:multiLevelType w:val="hybridMultilevel"/>
    <w:tmpl w:val="283E26DC"/>
    <w:lvl w:ilvl="0" w:tplc="10CE0A22">
      <w:numFmt w:val="bullet"/>
      <w:lvlText w:val="-"/>
      <w:lvlJc w:val="left"/>
      <w:pPr>
        <w:ind w:left="1287" w:hanging="360"/>
      </w:pPr>
      <w:rPr>
        <w:rFonts w:ascii="Calibri" w:eastAsia="Calibri" w:hAnsi="Calibri" w:hint="default"/>
        <w:color w:val="auto"/>
        <w:sz w:val="22"/>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nsid w:val="74292BF1"/>
    <w:multiLevelType w:val="hybridMultilevel"/>
    <w:tmpl w:val="746AA4D4"/>
    <w:lvl w:ilvl="0" w:tplc="275AEE7A">
      <w:start w:val="22"/>
      <w:numFmt w:val="bullet"/>
      <w:lvlText w:val="-"/>
      <w:lvlJc w:val="left"/>
      <w:pPr>
        <w:ind w:left="927" w:hanging="360"/>
      </w:pPr>
      <w:rPr>
        <w:rFonts w:ascii="Calibri" w:eastAsia="Calibri" w:hAnsi="Calibri"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2">
    <w:nsid w:val="7C6E6A2C"/>
    <w:multiLevelType w:val="hybridMultilevel"/>
    <w:tmpl w:val="2C1A620A"/>
    <w:lvl w:ilvl="0" w:tplc="A9E67238">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B95"/>
    <w:rsid w:val="005E3B95"/>
    <w:rsid w:val="00667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3B95"/>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5E3B95"/>
    <w:rPr>
      <w:color w:val="0000FF"/>
      <w:u w:val="single"/>
    </w:rPr>
  </w:style>
  <w:style w:type="paragraph" w:styleId="Lijstalinea">
    <w:name w:val="List Paragraph"/>
    <w:basedOn w:val="Standaard"/>
    <w:uiPriority w:val="34"/>
    <w:qFormat/>
    <w:rsid w:val="005E3B95"/>
    <w:pPr>
      <w:ind w:left="720"/>
    </w:pPr>
    <w:rPr>
      <w:rFonts w:ascii="Calibri" w:hAnsi="Calibri"/>
      <w:sz w:val="22"/>
      <w:szCs w:val="22"/>
    </w:rPr>
  </w:style>
  <w:style w:type="paragraph" w:styleId="Ballontekst">
    <w:name w:val="Balloon Text"/>
    <w:basedOn w:val="Standaard"/>
    <w:link w:val="BallontekstChar"/>
    <w:uiPriority w:val="99"/>
    <w:semiHidden/>
    <w:unhideWhenUsed/>
    <w:rsid w:val="005E3B95"/>
    <w:rPr>
      <w:rFonts w:ascii="Tahoma" w:hAnsi="Tahoma" w:cs="Tahoma"/>
      <w:sz w:val="16"/>
      <w:szCs w:val="16"/>
    </w:rPr>
  </w:style>
  <w:style w:type="character" w:customStyle="1" w:styleId="BallontekstChar">
    <w:name w:val="Ballontekst Char"/>
    <w:basedOn w:val="Standaardalinea-lettertype"/>
    <w:link w:val="Ballontekst"/>
    <w:uiPriority w:val="99"/>
    <w:semiHidden/>
    <w:rsid w:val="005E3B95"/>
    <w:rPr>
      <w:rFonts w:ascii="Tahoma"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3B95"/>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5E3B95"/>
    <w:rPr>
      <w:color w:val="0000FF"/>
      <w:u w:val="single"/>
    </w:rPr>
  </w:style>
  <w:style w:type="paragraph" w:styleId="Lijstalinea">
    <w:name w:val="List Paragraph"/>
    <w:basedOn w:val="Standaard"/>
    <w:uiPriority w:val="34"/>
    <w:qFormat/>
    <w:rsid w:val="005E3B95"/>
    <w:pPr>
      <w:ind w:left="720"/>
    </w:pPr>
    <w:rPr>
      <w:rFonts w:ascii="Calibri" w:hAnsi="Calibri"/>
      <w:sz w:val="22"/>
      <w:szCs w:val="22"/>
    </w:rPr>
  </w:style>
  <w:style w:type="paragraph" w:styleId="Ballontekst">
    <w:name w:val="Balloon Text"/>
    <w:basedOn w:val="Standaard"/>
    <w:link w:val="BallontekstChar"/>
    <w:uiPriority w:val="99"/>
    <w:semiHidden/>
    <w:unhideWhenUsed/>
    <w:rsid w:val="005E3B95"/>
    <w:rPr>
      <w:rFonts w:ascii="Tahoma" w:hAnsi="Tahoma" w:cs="Tahoma"/>
      <w:sz w:val="16"/>
      <w:szCs w:val="16"/>
    </w:rPr>
  </w:style>
  <w:style w:type="character" w:customStyle="1" w:styleId="BallontekstChar">
    <w:name w:val="Ballontekst Char"/>
    <w:basedOn w:val="Standaardalinea-lettertype"/>
    <w:link w:val="Ballontekst"/>
    <w:uiPriority w:val="99"/>
    <w:semiHidden/>
    <w:rsid w:val="005E3B95"/>
    <w:rPr>
      <w:rFonts w:ascii="Tahom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3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ilium.europa.eu/uedocs/cms_data/docs/pressdata/en/ecofin/145103.pdf" TargetMode="External"/><Relationship Id="rId13" Type="http://schemas.openxmlformats.org/officeDocument/2006/relationships/hyperlink" Target="http://ec.europa.eu/taxation_customs/resources/documents/taxation/vat/how_vat_works/telecom/instructions_report.pdf" TargetMode="External"/><Relationship Id="rId18" Type="http://schemas.openxmlformats.org/officeDocument/2006/relationships/hyperlink" Target="http://www.cfe-eutax.org" TargetMode="External"/><Relationship Id="rId3" Type="http://schemas.microsoft.com/office/2007/relationships/stylesWithEffects" Target="stylesWithEffects.xml"/><Relationship Id="rId21" Type="http://schemas.openxmlformats.org/officeDocument/2006/relationships/image" Target="cid:image004.png@01CFAA5C.15EA1810" TargetMode="External"/><Relationship Id="rId7" Type="http://schemas.openxmlformats.org/officeDocument/2006/relationships/image" Target="cid:image001.jpg@01CFEC6A.60876C10" TargetMode="External"/><Relationship Id="rId12" Type="http://schemas.openxmlformats.org/officeDocument/2006/relationships/hyperlink" Target="http://ec.europa.eu/taxation_customs/resources/documents/taxation/vat/how_vat_works/telecom/report.zip" TargetMode="External"/><Relationship Id="rId17" Type="http://schemas.openxmlformats.org/officeDocument/2006/relationships/hyperlink" Target="http://curia.europa.eu/juris/document/document.jsf?text=&amp;docid=152324&amp;pageIndex=0&amp;doclang=EN&amp;mode=lst&amp;dir=&amp;occ=first&amp;part=1&amp;cid=55227" TargetMode="External"/><Relationship Id="rId2" Type="http://schemas.openxmlformats.org/officeDocument/2006/relationships/styles" Target="styles.xml"/><Relationship Id="rId16" Type="http://schemas.openxmlformats.org/officeDocument/2006/relationships/hyperlink" Target="http://curia.europa.eu/juris/document/document.jsf?text=&amp;docid=158645&amp;pageIndex=0&amp;doclang=EN&amp;mode=lst&amp;dir=&amp;occ=first&amp;part=1&amp;cid=55227"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uropa.eu/rapid/press-release_IP-14-1144_en.htm" TargetMode="External"/><Relationship Id="rId5" Type="http://schemas.openxmlformats.org/officeDocument/2006/relationships/webSettings" Target="webSettings.xml"/><Relationship Id="rId15" Type="http://schemas.openxmlformats.org/officeDocument/2006/relationships/hyperlink" Target="mailto:TAXUD-C1-MOSS-2015@ec.europa.eu" TargetMode="External"/><Relationship Id="rId23" Type="http://schemas.openxmlformats.org/officeDocument/2006/relationships/theme" Target="theme/theme1.xml"/><Relationship Id="rId10" Type="http://schemas.openxmlformats.org/officeDocument/2006/relationships/hyperlink" Target="http://europa.eu/rapid/press-release_IP-14-1159_en.htm?locale=en" TargetMode="External"/><Relationship Id="rId19" Type="http://schemas.openxmlformats.org/officeDocument/2006/relationships/hyperlink" Target="http://www.linkedin.com/company/confederation-fiscal-europeene?trk=company_name" TargetMode="External"/><Relationship Id="rId4" Type="http://schemas.openxmlformats.org/officeDocument/2006/relationships/settings" Target="settings.xml"/><Relationship Id="rId9" Type="http://schemas.openxmlformats.org/officeDocument/2006/relationships/hyperlink" Target="http://europa.eu/rapid/press-release_MEMO-14-591_en.htm" TargetMode="External"/><Relationship Id="rId14" Type="http://schemas.openxmlformats.org/officeDocument/2006/relationships/hyperlink" Target="http://ec.europa.eu/taxation_customs/resources/documents/taxation/vat/how_vat_works/telecom/list_contact_vat.pdf"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68CF33AE</Template>
  <TotalTime>1</TotalTime>
  <Pages>3</Pages>
  <Words>1027</Words>
  <Characters>5650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Nalan Baykal</dc:creator>
  <cp:lastModifiedBy>Nalan Baykal</cp:lastModifiedBy>
  <cp:revision>1</cp:revision>
  <dcterms:created xsi:type="dcterms:W3CDTF">2015-01-13T08:59:00Z</dcterms:created>
  <dcterms:modified xsi:type="dcterms:W3CDTF">2015-01-13T09:00:00Z</dcterms:modified>
</cp:coreProperties>
</file>