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2"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672"/>
      </w:tblGrid>
      <w:tr w:rsidR="002D296E" w:rsidTr="002D296E">
        <w:trPr>
          <w:tblCellSpacing w:w="0" w:type="dxa"/>
        </w:trPr>
        <w:tc>
          <w:tcPr>
            <w:tcW w:w="9672" w:type="dxa"/>
            <w:tcBorders>
              <w:top w:val="nil"/>
              <w:left w:val="nil"/>
              <w:bottom w:val="nil"/>
              <w:right w:val="nil"/>
            </w:tcBorders>
            <w:tcMar>
              <w:top w:w="375" w:type="dxa"/>
              <w:left w:w="300" w:type="dxa"/>
              <w:bottom w:w="300" w:type="dxa"/>
              <w:right w:w="300" w:type="dxa"/>
            </w:tcMar>
            <w:vAlign w:val="center"/>
          </w:tcPr>
          <w:tbl>
            <w:tblPr>
              <w:tblW w:w="8214" w:type="dxa"/>
              <w:tblCellSpacing w:w="0" w:type="dxa"/>
              <w:tblCellMar>
                <w:left w:w="0" w:type="dxa"/>
                <w:right w:w="0" w:type="dxa"/>
              </w:tblCellMar>
              <w:tblLook w:val="04A0" w:firstRow="1" w:lastRow="0" w:firstColumn="1" w:lastColumn="0" w:noHBand="0" w:noVBand="1"/>
            </w:tblPr>
            <w:tblGrid>
              <w:gridCol w:w="9066"/>
              <w:gridCol w:w="6"/>
            </w:tblGrid>
            <w:tr w:rsidR="002D296E">
              <w:trPr>
                <w:tblCellSpacing w:w="0" w:type="dxa"/>
              </w:trPr>
              <w:tc>
                <w:tcPr>
                  <w:tcW w:w="8205" w:type="dxa"/>
                  <w:vAlign w:val="center"/>
                  <w:hideMark/>
                </w:tcPr>
                <w:p w:rsidR="002D296E" w:rsidRDefault="002D296E">
                  <w:pPr>
                    <w:spacing w:line="276" w:lineRule="auto"/>
                    <w:jc w:val="both"/>
                    <w:rPr>
                      <w:rFonts w:ascii="Calibri" w:hAnsi="Calibri"/>
                      <w:sz w:val="22"/>
                      <w:szCs w:val="22"/>
                      <w:lang w:val="en-GB" w:eastAsia="en-US"/>
                    </w:rPr>
                  </w:pPr>
                  <w:bookmarkStart w:id="0" w:name="_GoBack"/>
                  <w:bookmarkEnd w:id="0"/>
                  <w:r>
                    <w:rPr>
                      <w:rFonts w:ascii="Calibri" w:hAnsi="Calibri"/>
                      <w:noProof/>
                      <w:sz w:val="22"/>
                      <w:szCs w:val="22"/>
                    </w:rPr>
                    <w:drawing>
                      <wp:inline distT="0" distB="0" distL="0" distR="0" wp14:anchorId="3C42FEAE" wp14:editId="71313200">
                        <wp:extent cx="5762625" cy="666750"/>
                        <wp:effectExtent l="0" t="0" r="9525" b="0"/>
                        <wp:docPr id="2" name="Afbeelding 2" descr="cid:image002.jpg@01CFE165.F625E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E165.F625E9A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2D296E" w:rsidRDefault="002D296E">
                  <w:pPr>
                    <w:spacing w:line="276" w:lineRule="auto"/>
                    <w:jc w:val="both"/>
                    <w:rPr>
                      <w:rFonts w:ascii="Calibri" w:hAnsi="Calibri"/>
                      <w:color w:val="ACABAB"/>
                      <w:sz w:val="22"/>
                      <w:szCs w:val="22"/>
                      <w:lang w:val="en-GB" w:eastAsia="en-US"/>
                    </w:rPr>
                  </w:pPr>
                </w:p>
                <w:p w:rsidR="002D296E" w:rsidRDefault="002D296E">
                  <w:pPr>
                    <w:spacing w:line="276" w:lineRule="auto"/>
                    <w:jc w:val="both"/>
                    <w:rPr>
                      <w:rFonts w:ascii="Calibri" w:hAnsi="Calibri"/>
                      <w:color w:val="ACABAB"/>
                      <w:sz w:val="22"/>
                      <w:szCs w:val="22"/>
                      <w:lang w:val="en-GB" w:eastAsia="en-US"/>
                    </w:rPr>
                  </w:pPr>
                </w:p>
              </w:tc>
            </w:tr>
          </w:tbl>
          <w:p w:rsidR="002D296E" w:rsidRDefault="002D296E">
            <w:pPr>
              <w:spacing w:line="276" w:lineRule="auto"/>
              <w:jc w:val="both"/>
              <w:rPr>
                <w:rFonts w:ascii="Calibri" w:hAnsi="Calibri"/>
                <w:b/>
                <w:bCs/>
                <w:sz w:val="20"/>
                <w:szCs w:val="20"/>
                <w:lang w:val="en-GB" w:eastAsia="en-US"/>
              </w:rPr>
            </w:pPr>
            <w:r>
              <w:rPr>
                <w:rFonts w:ascii="Calibri" w:hAnsi="Calibri"/>
                <w:b/>
                <w:bCs/>
                <w:sz w:val="20"/>
                <w:szCs w:val="20"/>
                <w:lang w:val="en-GB" w:eastAsia="en-US"/>
              </w:rPr>
              <w:t>Fiscal Committee</w:t>
            </w:r>
          </w:p>
          <w:p w:rsidR="002D296E" w:rsidRDefault="002D296E">
            <w:pPr>
              <w:shd w:val="clear" w:color="auto" w:fill="FEFEFE"/>
              <w:spacing w:line="276" w:lineRule="auto"/>
              <w:ind w:right="2925"/>
              <w:jc w:val="both"/>
              <w:rPr>
                <w:rFonts w:ascii="Calibri" w:hAnsi="Calibri"/>
                <w:b/>
                <w:bCs/>
                <w:color w:val="000000"/>
                <w:sz w:val="20"/>
                <w:szCs w:val="20"/>
                <w:lang w:val="en" w:eastAsia="en-US"/>
              </w:rPr>
            </w:pPr>
            <w:r>
              <w:rPr>
                <w:rFonts w:ascii="Calibri" w:hAnsi="Calibri"/>
                <w:b/>
                <w:bCs/>
                <w:color w:val="000000"/>
                <w:sz w:val="20"/>
                <w:szCs w:val="20"/>
                <w:lang w:val="en" w:eastAsia="en-US"/>
              </w:rPr>
              <w:t xml:space="preserve">                                                                                                                                                    </w:t>
            </w:r>
          </w:p>
          <w:p w:rsidR="002D296E" w:rsidRDefault="002D296E">
            <w:pPr>
              <w:shd w:val="clear" w:color="auto" w:fill="FEFEFE"/>
              <w:spacing w:line="276" w:lineRule="auto"/>
              <w:jc w:val="both"/>
              <w:rPr>
                <w:rFonts w:ascii="Calibri" w:hAnsi="Calibri"/>
                <w:b/>
                <w:bCs/>
                <w:color w:val="000000"/>
                <w:sz w:val="20"/>
                <w:szCs w:val="20"/>
                <w:lang w:val="en" w:eastAsia="en-US"/>
              </w:rPr>
            </w:pPr>
            <w:r>
              <w:rPr>
                <w:rFonts w:ascii="Calibri" w:hAnsi="Calibri"/>
                <w:b/>
                <w:bCs/>
                <w:color w:val="000000"/>
                <w:sz w:val="20"/>
                <w:szCs w:val="20"/>
                <w:lang w:val="en" w:eastAsia="en-US"/>
              </w:rPr>
              <w:t>                                                                                                                                                                         6 October 2014</w:t>
            </w:r>
          </w:p>
          <w:p w:rsidR="002D296E" w:rsidRDefault="002D296E">
            <w:pPr>
              <w:pStyle w:val="Lijstalinea"/>
              <w:shd w:val="clear" w:color="auto" w:fill="FEFEFE"/>
              <w:spacing w:line="276" w:lineRule="auto"/>
              <w:ind w:left="927"/>
              <w:jc w:val="both"/>
              <w:rPr>
                <w:color w:val="000000"/>
                <w:sz w:val="20"/>
                <w:szCs w:val="20"/>
                <w:lang w:val="en" w:eastAsia="en-US"/>
              </w:rPr>
            </w:pPr>
          </w:p>
          <w:p w:rsidR="002D296E" w:rsidRDefault="002D296E">
            <w:pPr>
              <w:pStyle w:val="Lijstalinea"/>
              <w:shd w:val="clear" w:color="auto" w:fill="FEFEFE"/>
              <w:spacing w:line="276" w:lineRule="auto"/>
              <w:ind w:left="567"/>
              <w:jc w:val="both"/>
              <w:rPr>
                <w:color w:val="000000"/>
                <w:sz w:val="20"/>
                <w:szCs w:val="20"/>
                <w:lang w:val="en" w:eastAsia="en-US"/>
              </w:rPr>
            </w:pPr>
          </w:p>
          <w:p w:rsidR="002D296E" w:rsidRDefault="002D296E" w:rsidP="002549E1">
            <w:pPr>
              <w:pStyle w:val="Lijstalinea"/>
              <w:numPr>
                <w:ilvl w:val="0"/>
                <w:numId w:val="1"/>
              </w:numPr>
              <w:shd w:val="clear" w:color="auto" w:fill="FEFEFE"/>
              <w:spacing w:line="276" w:lineRule="auto"/>
              <w:jc w:val="both"/>
              <w:rPr>
                <w:b/>
                <w:bCs/>
                <w:color w:val="000000"/>
                <w:sz w:val="20"/>
                <w:szCs w:val="20"/>
                <w:lang w:val="en-GB" w:eastAsia="en-US"/>
              </w:rPr>
            </w:pPr>
            <w:r>
              <w:rPr>
                <w:b/>
                <w:bCs/>
                <w:color w:val="000000"/>
                <w:sz w:val="20"/>
                <w:szCs w:val="20"/>
                <w:lang w:val="en-GB" w:eastAsia="en-US"/>
              </w:rPr>
              <w:t>Taxes and state aid: Commission extends investigation into Gibraltar corporate tax regime to include rulings / no confirmation of outcome of Apple, Starbucks and Fiat cases</w:t>
            </w:r>
          </w:p>
          <w:p w:rsidR="002D296E" w:rsidRDefault="002D296E">
            <w:pPr>
              <w:shd w:val="clear" w:color="auto" w:fill="FEFEFE"/>
              <w:spacing w:line="276" w:lineRule="auto"/>
              <w:ind w:left="567"/>
              <w:jc w:val="both"/>
              <w:rPr>
                <w:rFonts w:ascii="Calibri" w:hAnsi="Calibri"/>
                <w:color w:val="000000"/>
                <w:sz w:val="20"/>
                <w:szCs w:val="20"/>
                <w:lang w:val="en-GB" w:eastAsia="en-US"/>
              </w:rPr>
            </w:pPr>
          </w:p>
          <w:p w:rsidR="002D296E" w:rsidRDefault="002D296E">
            <w:pPr>
              <w:shd w:val="clear" w:color="auto" w:fill="FEFEFE"/>
              <w:spacing w:line="276" w:lineRule="auto"/>
              <w:ind w:left="567"/>
              <w:jc w:val="both"/>
              <w:rPr>
                <w:rFonts w:ascii="Calibri" w:hAnsi="Calibri"/>
                <w:color w:val="000000"/>
                <w:sz w:val="20"/>
                <w:szCs w:val="20"/>
                <w:lang w:val="en-GB" w:eastAsia="en-US"/>
              </w:rPr>
            </w:pPr>
            <w:r>
              <w:rPr>
                <w:rFonts w:ascii="Calibri" w:hAnsi="Calibri"/>
                <w:color w:val="000000"/>
                <w:sz w:val="20"/>
                <w:szCs w:val="20"/>
                <w:lang w:val="en-GB" w:eastAsia="en-US"/>
              </w:rPr>
              <w:t xml:space="preserve">On 1 October 2014, the European Commission has extended the scope of its </w:t>
            </w:r>
            <w:proofErr w:type="spellStart"/>
            <w:r>
              <w:rPr>
                <w:rFonts w:ascii="Calibri" w:hAnsi="Calibri"/>
                <w:color w:val="000000"/>
                <w:sz w:val="20"/>
                <w:szCs w:val="20"/>
                <w:lang w:val="en-GB" w:eastAsia="en-US"/>
              </w:rPr>
              <w:t>ongoing</w:t>
            </w:r>
            <w:proofErr w:type="spellEnd"/>
            <w:r>
              <w:rPr>
                <w:rFonts w:ascii="Calibri" w:hAnsi="Calibri"/>
                <w:color w:val="000000"/>
                <w:sz w:val="20"/>
                <w:szCs w:val="20"/>
                <w:lang w:val="en-GB" w:eastAsia="en-US"/>
              </w:rPr>
              <w:t xml:space="preserve"> state aid investigation into the Gibraltar corporate tax regime to the jurisdiction´s tax rulings practice which allows companies to ask for advance confirmation of whether certain income, generated by companies incorporated in Gibraltar or that carried out an activity which generates income, are subject to taxation in Gibraltar. After having assessed 165 tax rulings, the Commission suspects that the Gibraltar tax authorities generally grant formal tax rulings without performing an adequate evaluation. The extension of an in-depth investigation gives interested third parties an opportunity to comment but does not prejudge the outcome.</w:t>
            </w:r>
          </w:p>
          <w:p w:rsidR="002D296E" w:rsidRDefault="002D296E">
            <w:pPr>
              <w:shd w:val="clear" w:color="auto" w:fill="FEFEFE"/>
              <w:spacing w:line="276" w:lineRule="auto"/>
              <w:ind w:left="567"/>
              <w:jc w:val="both"/>
              <w:rPr>
                <w:rFonts w:ascii="Calibri" w:hAnsi="Calibri"/>
                <w:color w:val="000000"/>
                <w:sz w:val="20"/>
                <w:szCs w:val="20"/>
                <w:lang w:val="en-GB" w:eastAsia="en-US"/>
              </w:rPr>
            </w:pPr>
            <w:r>
              <w:rPr>
                <w:rFonts w:ascii="Calibri" w:hAnsi="Calibri"/>
                <w:color w:val="000000"/>
                <w:sz w:val="20"/>
                <w:szCs w:val="20"/>
                <w:lang w:val="en-GB" w:eastAsia="en-US"/>
              </w:rPr>
              <w:t xml:space="preserve">Media reports from 28 September 2014 that the Commission has concluded that tax rulings </w:t>
            </w:r>
            <w:proofErr w:type="spellStart"/>
            <w:r>
              <w:rPr>
                <w:rFonts w:ascii="Calibri" w:hAnsi="Calibri"/>
                <w:color w:val="000000"/>
                <w:sz w:val="20"/>
                <w:szCs w:val="20"/>
                <w:lang w:val="en-GB" w:eastAsia="en-US"/>
              </w:rPr>
              <w:t>bv</w:t>
            </w:r>
            <w:proofErr w:type="spellEnd"/>
            <w:r>
              <w:rPr>
                <w:rFonts w:ascii="Calibri" w:hAnsi="Calibri"/>
                <w:color w:val="000000"/>
                <w:sz w:val="20"/>
                <w:szCs w:val="20"/>
                <w:lang w:val="en-GB" w:eastAsia="en-US"/>
              </w:rPr>
              <w:t xml:space="preserve"> the Irish tax administration in the case of Apple were illegal state aid (see last week´s Tax Top 5) have to date not been confirmed, but on 30 September, the Commission published its decisions of 11 June 2014 on the opening of the investigations concerning Apple and Fiat Finance.</w:t>
            </w:r>
          </w:p>
          <w:p w:rsidR="002D296E" w:rsidRDefault="002D296E">
            <w:pPr>
              <w:shd w:val="clear" w:color="auto" w:fill="FEFEFE"/>
              <w:spacing w:line="276" w:lineRule="auto"/>
              <w:ind w:left="567"/>
              <w:jc w:val="both"/>
              <w:rPr>
                <w:rFonts w:ascii="Calibri" w:hAnsi="Calibri"/>
                <w:color w:val="000000"/>
                <w:sz w:val="20"/>
                <w:szCs w:val="20"/>
                <w:lang w:val="en-GB" w:eastAsia="en-US"/>
              </w:rPr>
            </w:pPr>
          </w:p>
          <w:p w:rsidR="002D296E" w:rsidRDefault="002D296E" w:rsidP="002549E1">
            <w:pPr>
              <w:pStyle w:val="Lijstalinea"/>
              <w:numPr>
                <w:ilvl w:val="0"/>
                <w:numId w:val="2"/>
              </w:numPr>
              <w:shd w:val="clear" w:color="auto" w:fill="FEFEFE"/>
              <w:spacing w:line="276" w:lineRule="auto"/>
              <w:jc w:val="both"/>
              <w:rPr>
                <w:color w:val="000000"/>
                <w:sz w:val="20"/>
                <w:szCs w:val="20"/>
                <w:lang w:val="en-GB" w:eastAsia="en-US"/>
              </w:rPr>
            </w:pPr>
            <w:hyperlink r:id="rId8" w:history="1">
              <w:r>
                <w:rPr>
                  <w:rStyle w:val="Hyperlink"/>
                  <w:sz w:val="20"/>
                  <w:szCs w:val="20"/>
                  <w:lang w:val="en-GB" w:eastAsia="en-US"/>
                </w:rPr>
                <w:t>Press release of 16 October 2013</w:t>
              </w:r>
            </w:hyperlink>
            <w:r>
              <w:rPr>
                <w:color w:val="000000"/>
                <w:sz w:val="20"/>
                <w:szCs w:val="20"/>
                <w:lang w:val="en-GB" w:eastAsia="en-US"/>
              </w:rPr>
              <w:t xml:space="preserve"> (opening of investigations into Gibraltar scheme)</w:t>
            </w:r>
          </w:p>
          <w:p w:rsidR="002D296E" w:rsidRDefault="002D296E" w:rsidP="002549E1">
            <w:pPr>
              <w:pStyle w:val="Lijstalinea"/>
              <w:numPr>
                <w:ilvl w:val="0"/>
                <w:numId w:val="2"/>
              </w:numPr>
              <w:shd w:val="clear" w:color="auto" w:fill="FEFEFE"/>
              <w:spacing w:line="276" w:lineRule="auto"/>
              <w:jc w:val="both"/>
              <w:rPr>
                <w:color w:val="000000"/>
                <w:sz w:val="20"/>
                <w:szCs w:val="20"/>
                <w:lang w:val="en-GB" w:eastAsia="en-US"/>
              </w:rPr>
            </w:pPr>
            <w:hyperlink r:id="rId9" w:history="1">
              <w:r>
                <w:rPr>
                  <w:rStyle w:val="Hyperlink"/>
                  <w:sz w:val="20"/>
                  <w:szCs w:val="20"/>
                  <w:lang w:val="en-GB" w:eastAsia="en-US"/>
                </w:rPr>
                <w:t>Press release of 1 October 2014</w:t>
              </w:r>
            </w:hyperlink>
            <w:r>
              <w:rPr>
                <w:color w:val="000000"/>
                <w:sz w:val="20"/>
                <w:szCs w:val="20"/>
                <w:lang w:val="en-GB" w:eastAsia="en-US"/>
              </w:rPr>
              <w:t xml:space="preserve"> (extension to tax rulings practice)</w:t>
            </w:r>
          </w:p>
          <w:p w:rsidR="002D296E" w:rsidRDefault="002D296E">
            <w:pPr>
              <w:shd w:val="clear" w:color="auto" w:fill="FEFEFE"/>
              <w:spacing w:line="276" w:lineRule="auto"/>
              <w:jc w:val="both"/>
              <w:rPr>
                <w:rFonts w:ascii="Calibri" w:hAnsi="Calibri"/>
                <w:color w:val="000000"/>
                <w:sz w:val="20"/>
                <w:szCs w:val="20"/>
                <w:lang w:val="en-GB" w:eastAsia="en-US"/>
              </w:rPr>
            </w:pPr>
          </w:p>
          <w:p w:rsidR="002D296E" w:rsidRDefault="002D296E" w:rsidP="002549E1">
            <w:pPr>
              <w:pStyle w:val="Lijstalinea"/>
              <w:numPr>
                <w:ilvl w:val="0"/>
                <w:numId w:val="2"/>
              </w:numPr>
              <w:shd w:val="clear" w:color="auto" w:fill="FEFEFE"/>
              <w:spacing w:line="276" w:lineRule="auto"/>
              <w:jc w:val="both"/>
              <w:rPr>
                <w:color w:val="000000"/>
                <w:sz w:val="20"/>
                <w:szCs w:val="20"/>
                <w:lang w:val="en-GB" w:eastAsia="en-US"/>
              </w:rPr>
            </w:pPr>
            <w:hyperlink r:id="rId10" w:history="1">
              <w:r>
                <w:rPr>
                  <w:rStyle w:val="Hyperlink"/>
                  <w:sz w:val="20"/>
                  <w:szCs w:val="20"/>
                  <w:lang w:val="en-GB" w:eastAsia="en-US"/>
                </w:rPr>
                <w:t>Opening of investigations into Irish tax rulings concerning Apple, 11 June 2014</w:t>
              </w:r>
            </w:hyperlink>
          </w:p>
          <w:p w:rsidR="002D296E" w:rsidRDefault="002D296E" w:rsidP="002549E1">
            <w:pPr>
              <w:pStyle w:val="Lijstalinea"/>
              <w:numPr>
                <w:ilvl w:val="0"/>
                <w:numId w:val="2"/>
              </w:numPr>
              <w:spacing w:line="276" w:lineRule="auto"/>
              <w:rPr>
                <w:rStyle w:val="Hyperlink"/>
                <w:lang w:val="en-US"/>
              </w:rPr>
            </w:pPr>
            <w:hyperlink r:id="rId11" w:history="1">
              <w:r>
                <w:rPr>
                  <w:rStyle w:val="Hyperlink"/>
                  <w:sz w:val="20"/>
                  <w:szCs w:val="20"/>
                  <w:lang w:val="en-GB" w:eastAsia="en-US"/>
                </w:rPr>
                <w:t>Opening of investigations into Luxembourg tax rulings concerning Fiat Finance, 11 June 2014</w:t>
              </w:r>
            </w:hyperlink>
          </w:p>
          <w:p w:rsidR="002D296E" w:rsidRDefault="002D296E">
            <w:pPr>
              <w:pStyle w:val="Lijstalinea"/>
              <w:shd w:val="clear" w:color="auto" w:fill="FEFEFE"/>
              <w:spacing w:line="276" w:lineRule="auto"/>
              <w:ind w:left="927"/>
              <w:jc w:val="both"/>
              <w:rPr>
                <w:color w:val="000000"/>
              </w:rPr>
            </w:pPr>
          </w:p>
          <w:p w:rsidR="002D296E" w:rsidRDefault="002D296E">
            <w:pPr>
              <w:pStyle w:val="Lijstalinea"/>
              <w:shd w:val="clear" w:color="auto" w:fill="FEFEFE"/>
              <w:spacing w:line="276" w:lineRule="auto"/>
              <w:ind w:left="644"/>
              <w:jc w:val="both"/>
              <w:rPr>
                <w:color w:val="000000"/>
                <w:sz w:val="20"/>
                <w:szCs w:val="20"/>
                <w:lang w:val="en-GB" w:eastAsia="en-US"/>
              </w:rPr>
            </w:pPr>
          </w:p>
          <w:p w:rsidR="002D296E" w:rsidRDefault="002D296E" w:rsidP="002549E1">
            <w:pPr>
              <w:pStyle w:val="Lijstalinea"/>
              <w:numPr>
                <w:ilvl w:val="0"/>
                <w:numId w:val="1"/>
              </w:numPr>
              <w:spacing w:line="276" w:lineRule="auto"/>
              <w:jc w:val="both"/>
              <w:rPr>
                <w:b/>
                <w:bCs/>
                <w:sz w:val="20"/>
                <w:szCs w:val="20"/>
                <w:lang w:val="en-US" w:eastAsia="en-US"/>
              </w:rPr>
            </w:pPr>
            <w:r>
              <w:rPr>
                <w:b/>
                <w:bCs/>
                <w:color w:val="000000"/>
                <w:sz w:val="20"/>
                <w:szCs w:val="20"/>
                <w:lang w:val="en" w:eastAsia="en-US"/>
              </w:rPr>
              <w:t xml:space="preserve">VAT: CJEU decides on the place of supply of goods made fit for purpose in the member state of the recipient </w:t>
            </w:r>
          </w:p>
          <w:p w:rsidR="002D296E" w:rsidRDefault="002D296E">
            <w:pPr>
              <w:pStyle w:val="Lijstalinea"/>
              <w:spacing w:line="276" w:lineRule="auto"/>
              <w:ind w:left="644"/>
              <w:jc w:val="both"/>
              <w:rPr>
                <w:color w:val="000000"/>
                <w:sz w:val="20"/>
                <w:szCs w:val="20"/>
                <w:lang w:val="en" w:eastAsia="en-US"/>
              </w:rPr>
            </w:pPr>
          </w:p>
          <w:p w:rsidR="002D296E" w:rsidRDefault="002D296E">
            <w:pPr>
              <w:pStyle w:val="Lijstalinea"/>
              <w:spacing w:line="276" w:lineRule="auto"/>
              <w:ind w:left="644"/>
              <w:jc w:val="both"/>
              <w:rPr>
                <w:color w:val="000000"/>
                <w:sz w:val="20"/>
                <w:szCs w:val="20"/>
                <w:lang w:val="en-GB" w:eastAsia="en-US"/>
              </w:rPr>
            </w:pPr>
            <w:r>
              <w:rPr>
                <w:color w:val="000000"/>
                <w:sz w:val="20"/>
                <w:szCs w:val="20"/>
                <w:lang w:val="en-GB" w:eastAsia="en-US"/>
              </w:rPr>
              <w:t xml:space="preserve">On 2 October 2014, the EU Court of Justice (CJEU) decided on the French preliminary ruling case </w:t>
            </w:r>
            <w:proofErr w:type="spellStart"/>
            <w:r>
              <w:rPr>
                <w:color w:val="000000"/>
                <w:sz w:val="20"/>
                <w:szCs w:val="20"/>
                <w:lang w:val="en-GB" w:eastAsia="en-US"/>
              </w:rPr>
              <w:t>Fonderie</w:t>
            </w:r>
            <w:proofErr w:type="spellEnd"/>
            <w:r>
              <w:rPr>
                <w:color w:val="000000"/>
                <w:sz w:val="20"/>
                <w:szCs w:val="20"/>
                <w:lang w:val="en-GB" w:eastAsia="en-US"/>
              </w:rPr>
              <w:t xml:space="preserve"> 2A (C-446/13) on the place of supply of metal parts sold by a company in Italy to a person established in France, which the vendor has had painted by a third company in France to make them fit for purpose, before having them dispatched by that third company to the recipient. The CJEU ruled that such supplies must be deemed to be in the member state of the recipient, France.</w:t>
            </w:r>
          </w:p>
          <w:p w:rsidR="002D296E" w:rsidRDefault="002D296E">
            <w:pPr>
              <w:pStyle w:val="Lijstalinea"/>
              <w:spacing w:line="276" w:lineRule="auto"/>
              <w:ind w:left="644"/>
              <w:jc w:val="both"/>
              <w:rPr>
                <w:color w:val="000000"/>
                <w:sz w:val="20"/>
                <w:szCs w:val="20"/>
                <w:lang w:val="en" w:eastAsia="en-US"/>
              </w:rPr>
            </w:pPr>
          </w:p>
          <w:p w:rsidR="002D296E" w:rsidRDefault="002D296E" w:rsidP="002549E1">
            <w:pPr>
              <w:pStyle w:val="Lijstalinea"/>
              <w:numPr>
                <w:ilvl w:val="0"/>
                <w:numId w:val="2"/>
              </w:numPr>
              <w:spacing w:line="276" w:lineRule="auto"/>
              <w:jc w:val="both"/>
              <w:rPr>
                <w:rStyle w:val="Hyperlink"/>
                <w:lang w:val="en-US"/>
              </w:rPr>
            </w:pPr>
            <w:hyperlink r:id="rId12" w:history="1">
              <w:r>
                <w:rPr>
                  <w:rStyle w:val="Hyperlink"/>
                  <w:sz w:val="20"/>
                  <w:szCs w:val="20"/>
                  <w:lang w:val="en-US" w:eastAsia="en-US"/>
                </w:rPr>
                <w:t>Judgment</w:t>
              </w:r>
            </w:hyperlink>
          </w:p>
          <w:p w:rsidR="002D296E" w:rsidRDefault="002D296E" w:rsidP="002549E1">
            <w:pPr>
              <w:pStyle w:val="Lijstalinea"/>
              <w:numPr>
                <w:ilvl w:val="0"/>
                <w:numId w:val="2"/>
              </w:numPr>
              <w:spacing w:line="276" w:lineRule="auto"/>
              <w:jc w:val="both"/>
            </w:pPr>
            <w:hyperlink r:id="rId13" w:history="1">
              <w:r>
                <w:rPr>
                  <w:rStyle w:val="Hyperlink"/>
                  <w:sz w:val="20"/>
                  <w:szCs w:val="20"/>
                  <w:lang w:val="en-US" w:eastAsia="en-US"/>
                </w:rPr>
                <w:t>Opinion</w:t>
              </w:r>
            </w:hyperlink>
            <w:r>
              <w:rPr>
                <w:sz w:val="20"/>
                <w:szCs w:val="20"/>
                <w:lang w:val="en-US" w:eastAsia="en-US"/>
              </w:rPr>
              <w:t xml:space="preserve"> of Advocate-General </w:t>
            </w:r>
            <w:proofErr w:type="spellStart"/>
            <w:r>
              <w:rPr>
                <w:sz w:val="20"/>
                <w:szCs w:val="20"/>
                <w:lang w:val="en-US" w:eastAsia="en-US"/>
              </w:rPr>
              <w:t>Kokott</w:t>
            </w:r>
            <w:proofErr w:type="spellEnd"/>
          </w:p>
          <w:p w:rsidR="002D296E" w:rsidRDefault="002D296E">
            <w:pPr>
              <w:pStyle w:val="Lijstalinea"/>
              <w:spacing w:line="276" w:lineRule="auto"/>
              <w:ind w:left="644"/>
              <w:jc w:val="both"/>
              <w:rPr>
                <w:sz w:val="20"/>
                <w:szCs w:val="20"/>
                <w:lang w:val="en-US" w:eastAsia="en-US"/>
              </w:rPr>
            </w:pPr>
          </w:p>
          <w:p w:rsidR="002D296E" w:rsidRDefault="002D296E">
            <w:pPr>
              <w:pStyle w:val="Lijstalinea"/>
              <w:spacing w:line="276" w:lineRule="auto"/>
              <w:ind w:left="644"/>
              <w:jc w:val="both"/>
              <w:rPr>
                <w:sz w:val="20"/>
                <w:szCs w:val="20"/>
                <w:lang w:val="en-US" w:eastAsia="en-US"/>
              </w:rPr>
            </w:pPr>
          </w:p>
          <w:p w:rsidR="002D296E" w:rsidRDefault="002D296E" w:rsidP="002549E1">
            <w:pPr>
              <w:pStyle w:val="Lijstalinea"/>
              <w:numPr>
                <w:ilvl w:val="0"/>
                <w:numId w:val="1"/>
              </w:numPr>
              <w:spacing w:line="276" w:lineRule="auto"/>
              <w:rPr>
                <w:b/>
                <w:bCs/>
                <w:color w:val="000000"/>
                <w:sz w:val="20"/>
                <w:szCs w:val="20"/>
                <w:lang w:val="en-GB" w:eastAsia="en-US"/>
              </w:rPr>
            </w:pPr>
            <w:r>
              <w:rPr>
                <w:b/>
                <w:bCs/>
                <w:color w:val="000000"/>
                <w:sz w:val="20"/>
                <w:szCs w:val="20"/>
                <w:lang w:val="en-GB" w:eastAsia="en-US"/>
              </w:rPr>
              <w:lastRenderedPageBreak/>
              <w:t>Commission renews mandate for VAT Expert Group – CFE and members included</w:t>
            </w:r>
          </w:p>
          <w:p w:rsidR="002D296E" w:rsidRDefault="002D296E">
            <w:pPr>
              <w:pStyle w:val="Lijstalinea"/>
              <w:shd w:val="clear" w:color="auto" w:fill="FEFEFE"/>
              <w:spacing w:line="276" w:lineRule="auto"/>
              <w:ind w:left="567"/>
              <w:jc w:val="both"/>
              <w:rPr>
                <w:color w:val="000000"/>
                <w:sz w:val="20"/>
                <w:szCs w:val="20"/>
                <w:lang w:val="en" w:eastAsia="en-US"/>
              </w:rPr>
            </w:pPr>
          </w:p>
          <w:p w:rsidR="002D296E" w:rsidRDefault="002D296E">
            <w:pPr>
              <w:pStyle w:val="Lijstalinea"/>
              <w:shd w:val="clear" w:color="auto" w:fill="FEFEFE"/>
              <w:spacing w:line="276" w:lineRule="auto"/>
              <w:ind w:left="567"/>
              <w:jc w:val="both"/>
              <w:rPr>
                <w:color w:val="000000"/>
                <w:sz w:val="20"/>
                <w:szCs w:val="20"/>
                <w:lang w:val="en-GB" w:eastAsia="en-US"/>
              </w:rPr>
            </w:pPr>
            <w:r>
              <w:rPr>
                <w:color w:val="000000"/>
                <w:sz w:val="20"/>
                <w:szCs w:val="20"/>
                <w:lang w:val="en-GB" w:eastAsia="en-US"/>
              </w:rPr>
              <w:t xml:space="preserve">On 6 October 2014, the European Commission published its decision on the composition of the VAT Expert Group for its second two-year term starting on 1 October 2014. Among the 34 associations and firms and 6 individuals selected are the CFE, 5 CFE member organisations (from Croatia, the Czech Republic, Ireland, Malta and the UK) and one member of the CFE Fiscal Committee (Paolo </w:t>
            </w:r>
            <w:proofErr w:type="spellStart"/>
            <w:r>
              <w:rPr>
                <w:color w:val="000000"/>
                <w:sz w:val="20"/>
                <w:szCs w:val="20"/>
                <w:lang w:val="en-GB" w:eastAsia="en-US"/>
              </w:rPr>
              <w:t>Centore</w:t>
            </w:r>
            <w:proofErr w:type="spellEnd"/>
            <w:r>
              <w:rPr>
                <w:color w:val="000000"/>
                <w:sz w:val="20"/>
                <w:szCs w:val="20"/>
                <w:lang w:val="en-GB" w:eastAsia="en-US"/>
              </w:rPr>
              <w:t>, Italy).</w:t>
            </w:r>
          </w:p>
          <w:p w:rsidR="002D296E" w:rsidRDefault="002D296E">
            <w:pPr>
              <w:pStyle w:val="Lijstalinea"/>
              <w:shd w:val="clear" w:color="auto" w:fill="FEFEFE"/>
              <w:spacing w:line="276" w:lineRule="auto"/>
              <w:ind w:left="567"/>
              <w:jc w:val="both"/>
              <w:rPr>
                <w:color w:val="000000"/>
                <w:sz w:val="20"/>
                <w:szCs w:val="20"/>
                <w:lang w:val="en-GB" w:eastAsia="en-US"/>
              </w:rPr>
            </w:pPr>
          </w:p>
          <w:p w:rsidR="002D296E" w:rsidRDefault="002D296E" w:rsidP="002549E1">
            <w:pPr>
              <w:pStyle w:val="Lijstalinea"/>
              <w:numPr>
                <w:ilvl w:val="0"/>
                <w:numId w:val="2"/>
              </w:numPr>
              <w:shd w:val="clear" w:color="auto" w:fill="FEFEFE"/>
              <w:spacing w:line="276" w:lineRule="auto"/>
              <w:jc w:val="both"/>
              <w:rPr>
                <w:color w:val="000000"/>
                <w:sz w:val="20"/>
                <w:szCs w:val="20"/>
                <w:lang w:val="en" w:eastAsia="en-US"/>
              </w:rPr>
            </w:pPr>
            <w:hyperlink r:id="rId14" w:history="1">
              <w:r>
                <w:rPr>
                  <w:rStyle w:val="Hyperlink"/>
                  <w:sz w:val="20"/>
                  <w:szCs w:val="20"/>
                  <w:lang w:val="en" w:eastAsia="en-US"/>
                </w:rPr>
                <w:t>Decision of 25 September 2014</w:t>
              </w:r>
            </w:hyperlink>
            <w:r>
              <w:rPr>
                <w:sz w:val="20"/>
                <w:szCs w:val="20"/>
                <w:lang w:eastAsia="en-US"/>
              </w:rPr>
              <w:t xml:space="preserve"> </w:t>
            </w:r>
          </w:p>
          <w:p w:rsidR="002D296E" w:rsidRDefault="002D296E">
            <w:pPr>
              <w:pStyle w:val="Lijstalinea"/>
              <w:spacing w:line="276" w:lineRule="auto"/>
              <w:ind w:left="644"/>
              <w:jc w:val="both"/>
              <w:rPr>
                <w:sz w:val="20"/>
                <w:szCs w:val="20"/>
                <w:lang w:val="en-US" w:eastAsia="en-US"/>
              </w:rPr>
            </w:pPr>
          </w:p>
          <w:p w:rsidR="002D296E" w:rsidRDefault="002D296E">
            <w:pPr>
              <w:pStyle w:val="Lijstalinea"/>
              <w:spacing w:line="276" w:lineRule="auto"/>
              <w:ind w:left="644"/>
              <w:jc w:val="both"/>
              <w:rPr>
                <w:sz w:val="20"/>
                <w:szCs w:val="20"/>
                <w:lang w:val="en-US" w:eastAsia="en-US"/>
              </w:rPr>
            </w:pPr>
          </w:p>
          <w:p w:rsidR="002D296E" w:rsidRDefault="002D296E">
            <w:pPr>
              <w:spacing w:line="276" w:lineRule="auto"/>
              <w:jc w:val="center"/>
              <w:rPr>
                <w:rFonts w:ascii="Calibri" w:hAnsi="Calibri"/>
                <w:sz w:val="20"/>
                <w:szCs w:val="20"/>
                <w:lang w:val="en-GB" w:eastAsia="en-US"/>
              </w:rPr>
            </w:pPr>
            <w:r>
              <w:rPr>
                <w:rFonts w:ascii="Calibri" w:hAnsi="Calibri"/>
                <w:sz w:val="20"/>
                <w:szCs w:val="20"/>
                <w:lang w:val="en-GB" w:eastAsia="en-US"/>
              </w:rPr>
              <w:t>*****</w:t>
            </w:r>
          </w:p>
          <w:p w:rsidR="002D296E" w:rsidRDefault="002D296E">
            <w:pPr>
              <w:spacing w:line="276" w:lineRule="auto"/>
              <w:jc w:val="both"/>
              <w:rPr>
                <w:rFonts w:ascii="Calibri" w:hAnsi="Calibri"/>
                <w:sz w:val="20"/>
                <w:szCs w:val="20"/>
                <w:lang w:val="en-GB" w:eastAsia="en-US"/>
              </w:rPr>
            </w:pPr>
          </w:p>
          <w:p w:rsidR="002D296E" w:rsidRDefault="002D296E">
            <w:pPr>
              <w:pStyle w:val="Lijstalinea"/>
              <w:spacing w:line="276" w:lineRule="auto"/>
              <w:ind w:left="126"/>
              <w:jc w:val="center"/>
              <w:rPr>
                <w:i/>
                <w:iCs/>
                <w:sz w:val="20"/>
                <w:szCs w:val="20"/>
                <w:lang w:val="en-GB" w:eastAsia="en-US"/>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p>
          <w:p w:rsidR="002D296E" w:rsidRDefault="002D296E">
            <w:pPr>
              <w:pStyle w:val="Lijstalinea"/>
              <w:spacing w:line="276" w:lineRule="auto"/>
              <w:ind w:left="126"/>
              <w:jc w:val="center"/>
              <w:rPr>
                <w:i/>
                <w:iCs/>
                <w:sz w:val="20"/>
                <w:szCs w:val="20"/>
                <w:lang w:val="en-GB" w:eastAsia="en-US"/>
              </w:rPr>
            </w:pPr>
          </w:p>
          <w:p w:rsidR="002D296E" w:rsidRDefault="002D296E">
            <w:pPr>
              <w:pStyle w:val="Lijstalinea"/>
              <w:spacing w:line="276" w:lineRule="auto"/>
              <w:ind w:left="126"/>
              <w:jc w:val="center"/>
              <w:rPr>
                <w:rStyle w:val="Hyperlink"/>
                <w:lang w:val="en-US"/>
              </w:rPr>
            </w:pPr>
            <w:hyperlink r:id="rId15" w:history="1">
              <w:r>
                <w:rPr>
                  <w:rStyle w:val="Hyperlink"/>
                  <w:i/>
                  <w:iCs/>
                  <w:sz w:val="20"/>
                  <w:szCs w:val="20"/>
                  <w:lang w:val="en-GB" w:eastAsia="en-US"/>
                </w:rPr>
                <w:t>www.cfe-eutax.org</w:t>
              </w:r>
            </w:hyperlink>
          </w:p>
          <w:p w:rsidR="002D296E" w:rsidRDefault="002D296E">
            <w:pPr>
              <w:pStyle w:val="Lijstalinea"/>
              <w:spacing w:line="276" w:lineRule="auto"/>
              <w:ind w:left="126"/>
              <w:jc w:val="center"/>
              <w:rPr>
                <w:rStyle w:val="Hyperlink"/>
                <w:i/>
                <w:iCs/>
                <w:sz w:val="20"/>
                <w:szCs w:val="20"/>
                <w:lang w:val="en-GB" w:eastAsia="en-US"/>
              </w:rPr>
            </w:pPr>
          </w:p>
          <w:p w:rsidR="002D296E" w:rsidRDefault="002D296E">
            <w:pPr>
              <w:pStyle w:val="Lijstalinea"/>
              <w:spacing w:line="276" w:lineRule="auto"/>
              <w:ind w:left="126"/>
              <w:jc w:val="center"/>
              <w:rPr>
                <w:lang w:val="en-US"/>
              </w:rPr>
            </w:pPr>
            <w:r>
              <w:rPr>
                <w:i/>
                <w:iCs/>
                <w:sz w:val="20"/>
                <w:szCs w:val="20"/>
                <w:lang w:val="en-US" w:eastAsia="en-US"/>
              </w:rPr>
              <w:t xml:space="preserve">Follow us on </w:t>
            </w:r>
            <w:hyperlink r:id="rId16" w:history="1">
              <w:r>
                <w:rPr>
                  <w:rStyle w:val="Hyperlink"/>
                  <w:sz w:val="20"/>
                  <w:szCs w:val="20"/>
                  <w:lang w:val="en-US" w:eastAsia="en-US"/>
                </w:rPr>
                <w:t>Linked in</w:t>
              </w:r>
            </w:hyperlink>
            <w:r>
              <w:rPr>
                <w:sz w:val="20"/>
                <w:szCs w:val="20"/>
                <w:lang w:eastAsia="en-US"/>
              </w:rPr>
              <w:t xml:space="preserve"> </w:t>
            </w:r>
            <w:r>
              <w:rPr>
                <w:noProof/>
                <w:sz w:val="20"/>
                <w:szCs w:val="20"/>
              </w:rPr>
              <w:drawing>
                <wp:inline distT="0" distB="0" distL="0" distR="0" wp14:anchorId="07580D35" wp14:editId="57FF709C">
                  <wp:extent cx="200025" cy="190500"/>
                  <wp:effectExtent l="0" t="0" r="9525" b="0"/>
                  <wp:docPr id="1" name="Afbeelding 1" descr="cid:image004.png@01CFAA5C.15EA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FAA5C.15EA18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i/>
                <w:iCs/>
                <w:sz w:val="20"/>
                <w:szCs w:val="20"/>
                <w:lang w:val="en-US" w:eastAsia="en-US"/>
              </w:rPr>
              <w:t>  </w:t>
            </w:r>
          </w:p>
        </w:tc>
      </w:tr>
      <w:tr w:rsidR="002D296E" w:rsidTr="002D296E">
        <w:trPr>
          <w:tblCellSpacing w:w="0" w:type="dxa"/>
        </w:trPr>
        <w:tc>
          <w:tcPr>
            <w:tcW w:w="9672" w:type="dxa"/>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0"/>
            </w:tblGrid>
            <w:tr w:rsidR="002D296E">
              <w:trPr>
                <w:tblCellSpacing w:w="0" w:type="dxa"/>
              </w:trPr>
              <w:tc>
                <w:tcPr>
                  <w:tcW w:w="0" w:type="auto"/>
                  <w:vAlign w:val="center"/>
                  <w:hideMark/>
                </w:tcPr>
                <w:p w:rsidR="002D296E" w:rsidRDefault="002D296E">
                  <w:pPr>
                    <w:spacing w:line="276" w:lineRule="auto"/>
                    <w:rPr>
                      <w:rFonts w:ascii="Calibri" w:hAnsi="Calibri"/>
                      <w:sz w:val="22"/>
                      <w:szCs w:val="22"/>
                      <w:lang w:val="en-GB" w:eastAsia="en-US"/>
                    </w:rPr>
                  </w:pPr>
                  <w:r>
                    <w:rPr>
                      <w:rFonts w:ascii="Calibri" w:hAnsi="Calibri"/>
                      <w:sz w:val="22"/>
                      <w:szCs w:val="22"/>
                      <w:lang w:val="en-GB" w:eastAsia="en-US"/>
                    </w:rPr>
                    <w:lastRenderedPageBreak/>
                    <w:t> </w:t>
                  </w:r>
                </w:p>
              </w:tc>
            </w:tr>
            <w:tr w:rsidR="002D296E">
              <w:trPr>
                <w:tblCellSpacing w:w="0" w:type="dxa"/>
              </w:trPr>
              <w:tc>
                <w:tcPr>
                  <w:tcW w:w="0" w:type="auto"/>
                  <w:vAlign w:val="center"/>
                </w:tcPr>
                <w:p w:rsidR="002D296E" w:rsidRDefault="002D296E">
                  <w:pPr>
                    <w:spacing w:line="276" w:lineRule="auto"/>
                    <w:rPr>
                      <w:rFonts w:ascii="Calibri" w:hAnsi="Calibri"/>
                      <w:sz w:val="22"/>
                      <w:szCs w:val="22"/>
                      <w:lang w:val="en-GB" w:eastAsia="en-US"/>
                    </w:rPr>
                  </w:pPr>
                </w:p>
              </w:tc>
            </w:tr>
          </w:tbl>
          <w:p w:rsidR="002D296E" w:rsidRDefault="002D296E">
            <w:pPr>
              <w:rPr>
                <w:rFonts w:eastAsia="Times New Roman"/>
                <w:sz w:val="20"/>
                <w:szCs w:val="20"/>
              </w:rPr>
            </w:pPr>
          </w:p>
        </w:tc>
      </w:tr>
    </w:tbl>
    <w:p w:rsidR="002D296E" w:rsidRDefault="002D296E" w:rsidP="002D296E">
      <w:pPr>
        <w:rPr>
          <w:lang w:val="en-US"/>
        </w:rPr>
      </w:pPr>
    </w:p>
    <w:p w:rsidR="00667086" w:rsidRDefault="00667086"/>
    <w:sectPr w:rsidR="0066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92BF1"/>
    <w:multiLevelType w:val="hybridMultilevel"/>
    <w:tmpl w:val="746AA4D4"/>
    <w:lvl w:ilvl="0" w:tplc="275AEE7A">
      <w:start w:val="22"/>
      <w:numFmt w:val="bullet"/>
      <w:lvlText w:val="-"/>
      <w:lvlJc w:val="left"/>
      <w:pPr>
        <w:ind w:left="927" w:hanging="360"/>
      </w:pPr>
      <w:rPr>
        <w:rFonts w:ascii="Calibri" w:eastAsia="Calibri" w:hAnsi="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
    <w:nsid w:val="7C6E6A2C"/>
    <w:multiLevelType w:val="hybridMultilevel"/>
    <w:tmpl w:val="2C1A620A"/>
    <w:lvl w:ilvl="0" w:tplc="A9E6723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6E"/>
    <w:rsid w:val="002D296E"/>
    <w:rsid w:val="00667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296E"/>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D296E"/>
    <w:rPr>
      <w:color w:val="0000FF"/>
      <w:u w:val="single"/>
    </w:rPr>
  </w:style>
  <w:style w:type="paragraph" w:styleId="Lijstalinea">
    <w:name w:val="List Paragraph"/>
    <w:basedOn w:val="Standaard"/>
    <w:uiPriority w:val="34"/>
    <w:qFormat/>
    <w:rsid w:val="002D296E"/>
    <w:pPr>
      <w:ind w:left="720"/>
    </w:pPr>
    <w:rPr>
      <w:rFonts w:ascii="Calibri" w:hAnsi="Calibri"/>
      <w:sz w:val="22"/>
      <w:szCs w:val="22"/>
    </w:rPr>
  </w:style>
  <w:style w:type="paragraph" w:styleId="Ballontekst">
    <w:name w:val="Balloon Text"/>
    <w:basedOn w:val="Standaard"/>
    <w:link w:val="BallontekstChar"/>
    <w:uiPriority w:val="99"/>
    <w:semiHidden/>
    <w:unhideWhenUsed/>
    <w:rsid w:val="002D296E"/>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96E"/>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296E"/>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D296E"/>
    <w:rPr>
      <w:color w:val="0000FF"/>
      <w:u w:val="single"/>
    </w:rPr>
  </w:style>
  <w:style w:type="paragraph" w:styleId="Lijstalinea">
    <w:name w:val="List Paragraph"/>
    <w:basedOn w:val="Standaard"/>
    <w:uiPriority w:val="34"/>
    <w:qFormat/>
    <w:rsid w:val="002D296E"/>
    <w:pPr>
      <w:ind w:left="720"/>
    </w:pPr>
    <w:rPr>
      <w:rFonts w:ascii="Calibri" w:hAnsi="Calibri"/>
      <w:sz w:val="22"/>
      <w:szCs w:val="22"/>
    </w:rPr>
  </w:style>
  <w:style w:type="paragraph" w:styleId="Ballontekst">
    <w:name w:val="Balloon Text"/>
    <w:basedOn w:val="Standaard"/>
    <w:link w:val="BallontekstChar"/>
    <w:uiPriority w:val="99"/>
    <w:semiHidden/>
    <w:unhideWhenUsed/>
    <w:rsid w:val="002D296E"/>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96E"/>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rapid/press-release_IP-13-955_en.htm" TargetMode="External"/><Relationship Id="rId13" Type="http://schemas.openxmlformats.org/officeDocument/2006/relationships/hyperlink" Target="http://curia.europa.eu/juris/document/document.jsf?text=&amp;docid=154539&amp;pageIndex=0&amp;doclang=EN&amp;mode=lst&amp;dir=&amp;occ=first&amp;part=1&amp;cid=114788" TargetMode="External"/><Relationship Id="rId18" Type="http://schemas.openxmlformats.org/officeDocument/2006/relationships/image" Target="cid:image004.png@01CFAA5C.15EA1810" TargetMode="External"/><Relationship Id="rId3" Type="http://schemas.microsoft.com/office/2007/relationships/stylesWithEffects" Target="stylesWithEffects.xml"/><Relationship Id="rId7" Type="http://schemas.openxmlformats.org/officeDocument/2006/relationships/image" Target="cid:image002.jpg@01CFE165.F625E9A0" TargetMode="External"/><Relationship Id="rId12" Type="http://schemas.openxmlformats.org/officeDocument/2006/relationships/hyperlink" Target="http://curia.europa.eu/juris/document/document.jsf?text=&amp;docid=158190&amp;pageIndex=0&amp;doclang=en&amp;mode=lst&amp;dir=&amp;occ=first&amp;part=1&amp;cid=114788"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linkedin.com/company/confederation-fiscal-europeene?trk=company_nam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c.europa.eu/competition/state_aid/cases/253203/253203_1582635_49_2.pdf" TargetMode="External"/><Relationship Id="rId5" Type="http://schemas.openxmlformats.org/officeDocument/2006/relationships/webSettings" Target="webSettings.xml"/><Relationship Id="rId15" Type="http://schemas.openxmlformats.org/officeDocument/2006/relationships/hyperlink" Target="http://www.cfe-eutax.org" TargetMode="External"/><Relationship Id="rId10" Type="http://schemas.openxmlformats.org/officeDocument/2006/relationships/hyperlink" Target="http://ec.europa.eu/competition/state_aid/cases/253200/253200_1582634_87_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opa.eu/rapid/press-release_IP-14-1073_en.htm" TargetMode="External"/><Relationship Id="rId14" Type="http://schemas.openxmlformats.org/officeDocument/2006/relationships/hyperlink" Target="http://ec.europa.eu/taxation_customs/resources/documents/taxation/vat/key_documents/expert_group/dg_decisio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68CF33AE</Template>
  <TotalTime>4</TotalTime>
  <Pages>2</Pages>
  <Words>642</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Baykal</dc:creator>
  <cp:lastModifiedBy>Nalan Baykal</cp:lastModifiedBy>
  <cp:revision>1</cp:revision>
  <dcterms:created xsi:type="dcterms:W3CDTF">2015-01-13T08:44:00Z</dcterms:created>
  <dcterms:modified xsi:type="dcterms:W3CDTF">2015-01-13T08:48:00Z</dcterms:modified>
</cp:coreProperties>
</file>