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672"/>
      </w:tblGrid>
      <w:tr w:rsidR="0097276D" w:rsidTr="0097276D">
        <w:trPr>
          <w:tblCellSpacing w:w="0" w:type="dxa"/>
        </w:trPr>
        <w:tc>
          <w:tcPr>
            <w:tcW w:w="8154" w:type="dxa"/>
            <w:tcBorders>
              <w:top w:val="nil"/>
              <w:left w:val="nil"/>
              <w:bottom w:val="nil"/>
              <w:right w:val="nil"/>
            </w:tcBorders>
            <w:tcMar>
              <w:top w:w="375" w:type="dxa"/>
              <w:left w:w="300" w:type="dxa"/>
              <w:bottom w:w="300" w:type="dxa"/>
              <w:right w:w="300" w:type="dxa"/>
            </w:tcMar>
            <w:vAlign w:val="center"/>
            <w:hideMark/>
          </w:tcPr>
          <w:tbl>
            <w:tblPr>
              <w:tblW w:w="8214" w:type="dxa"/>
              <w:tblCellSpacing w:w="0" w:type="dxa"/>
              <w:tblCellMar>
                <w:left w:w="0" w:type="dxa"/>
                <w:right w:w="0" w:type="dxa"/>
              </w:tblCellMar>
              <w:tblLook w:val="04A0" w:firstRow="1" w:lastRow="0" w:firstColumn="1" w:lastColumn="0" w:noHBand="0" w:noVBand="1"/>
            </w:tblPr>
            <w:tblGrid>
              <w:gridCol w:w="9022"/>
              <w:gridCol w:w="50"/>
            </w:tblGrid>
            <w:tr w:rsidR="0097276D">
              <w:trPr>
                <w:tblCellSpacing w:w="0" w:type="dxa"/>
              </w:trPr>
              <w:tc>
                <w:tcPr>
                  <w:tcW w:w="8205" w:type="dxa"/>
                  <w:vAlign w:val="center"/>
                  <w:hideMark/>
                </w:tcPr>
                <w:p w:rsidR="0097276D" w:rsidRDefault="0097276D">
                  <w:pPr>
                    <w:spacing w:line="276" w:lineRule="auto"/>
                    <w:jc w:val="both"/>
                  </w:pPr>
                  <w:r>
                    <w:rPr>
                      <w:rFonts w:ascii="Calibri" w:hAnsi="Calibri"/>
                      <w:noProof/>
                      <w:sz w:val="22"/>
                      <w:szCs w:val="22"/>
                    </w:rPr>
                    <mc:AlternateContent>
                      <mc:Choice Requires="wps">
                        <w:drawing>
                          <wp:inline distT="0" distB="0" distL="0" distR="0">
                            <wp:extent cx="5762625" cy="666750"/>
                            <wp:effectExtent l="0" t="0" r="0" b="0"/>
                            <wp:docPr id="2" name="Rechthoek 2" descr="cid:image001.jpg@01CFDBDF.0969C3B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2" o:spid="_x0000_s1026" alt="cid:image001.jpg@01CFDBDF.0969C3B0" style="width:45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" filled="f" stroked="f">
                            <o:lock v:ext="edit" aspectratio="t"/>
                            <w10:anchorlock/>
                          </v:rect>
                        </w:pict>
                      </mc:Fallback>
                    </mc:AlternateContent>
                  </w:r>
                </w:p>
              </w:tc>
              <w:tc>
                <w:tcPr>
                  <w:tcW w:w="0" w:type="auto"/>
                  <w:vAlign w:val="center"/>
                  <w:hideMark/>
                </w:tcPr>
                <w:p w:rsidR="0097276D" w:rsidRDefault="0097276D">
                  <w:pPr>
                    <w:spacing w:line="276" w:lineRule="auto"/>
                    <w:jc w:val="both"/>
                  </w:pPr>
                  <w:r>
                    <w:rPr>
                      <w:rFonts w:ascii="Calibri" w:hAnsi="Calibri"/>
                      <w:color w:val="ACABAB"/>
                      <w:sz w:val="22"/>
                      <w:szCs w:val="22"/>
                      <w:lang w:val="en-GB" w:eastAsia="en-US"/>
                    </w:rPr>
                    <w:t> </w:t>
                  </w:r>
                </w:p>
                <w:p w:rsidR="0097276D" w:rsidRDefault="0097276D">
                  <w:pPr>
                    <w:spacing w:line="276" w:lineRule="auto"/>
                    <w:jc w:val="both"/>
                  </w:pPr>
                  <w:r>
                    <w:rPr>
                      <w:rFonts w:ascii="Calibri" w:hAnsi="Calibri"/>
                      <w:color w:val="ACABAB"/>
                      <w:sz w:val="22"/>
                      <w:szCs w:val="22"/>
                      <w:lang w:val="en-GB" w:eastAsia="en-US"/>
                    </w:rPr>
                    <w:t> </w:t>
                  </w:r>
                </w:p>
              </w:tc>
            </w:tr>
          </w:tbl>
          <w:p w:rsidR="0097276D" w:rsidRDefault="0097276D">
            <w:pPr>
              <w:spacing w:line="276" w:lineRule="auto"/>
              <w:jc w:val="both"/>
            </w:pPr>
            <w:r>
              <w:rPr>
                <w:rFonts w:ascii="Calibri" w:hAnsi="Calibri"/>
                <w:b/>
                <w:bCs/>
                <w:sz w:val="20"/>
                <w:szCs w:val="20"/>
                <w:lang w:val="en-GB" w:eastAsia="en-US"/>
              </w:rPr>
              <w:t>Fiscal Committee</w:t>
            </w:r>
          </w:p>
          <w:p w:rsidR="0097276D" w:rsidRDefault="0097276D">
            <w:pPr>
              <w:shd w:val="clear" w:color="auto" w:fill="FEFEFE"/>
              <w:spacing w:line="276" w:lineRule="auto"/>
              <w:ind w:right="2925"/>
              <w:jc w:val="both"/>
            </w:pPr>
            <w:r>
              <w:rPr>
                <w:rFonts w:ascii="Calibri" w:hAnsi="Calibri"/>
                <w:b/>
                <w:bCs/>
                <w:color w:val="000000"/>
                <w:sz w:val="20"/>
                <w:szCs w:val="20"/>
                <w:lang w:val="en" w:eastAsia="en-US"/>
              </w:rPr>
              <w:t xml:space="preserve">                                                                                                                                                    </w:t>
            </w:r>
          </w:p>
          <w:p w:rsidR="0097276D" w:rsidRDefault="0097276D">
            <w:pPr>
              <w:shd w:val="clear" w:color="auto" w:fill="FEFEFE"/>
              <w:spacing w:line="276" w:lineRule="auto"/>
              <w:jc w:val="both"/>
            </w:pPr>
            <w:r>
              <w:rPr>
                <w:rFonts w:ascii="Calibri" w:hAnsi="Calibri"/>
                <w:b/>
                <w:bCs/>
                <w:color w:val="000000"/>
                <w:sz w:val="20"/>
                <w:szCs w:val="20"/>
                <w:lang w:val="en" w:eastAsia="en-US"/>
              </w:rPr>
              <w:t>                                                                                                                                                                    29 September 2014</w:t>
            </w:r>
          </w:p>
          <w:p w:rsidR="0097276D" w:rsidRDefault="0097276D">
            <w:pPr>
              <w:shd w:val="clear" w:color="auto" w:fill="FEFEFE"/>
              <w:spacing w:line="276" w:lineRule="auto"/>
              <w:jc w:val="both"/>
            </w:pPr>
            <w:r>
              <w:rPr>
                <w:rFonts w:ascii="Calibri" w:hAnsi="Calibri"/>
                <w:b/>
                <w:bCs/>
                <w:color w:val="000000"/>
                <w:sz w:val="20"/>
                <w:szCs w:val="20"/>
                <w:lang w:val="en" w:eastAsia="en-US"/>
              </w:rPr>
              <w:t> </w:t>
            </w:r>
          </w:p>
          <w:p w:rsidR="0097276D" w:rsidRDefault="0097276D">
            <w:pPr>
              <w:shd w:val="clear" w:color="auto" w:fill="FEFEFE"/>
              <w:spacing w:line="276" w:lineRule="auto"/>
              <w:jc w:val="both"/>
            </w:pPr>
            <w:r>
              <w:rPr>
                <w:rFonts w:ascii="Calibri" w:hAnsi="Calibri"/>
                <w:b/>
                <w:bCs/>
                <w:color w:val="000000"/>
                <w:sz w:val="20"/>
                <w:szCs w:val="20"/>
                <w:lang w:val="en" w:eastAsia="en-US"/>
              </w:rPr>
              <w:t> </w:t>
            </w:r>
          </w:p>
          <w:p w:rsidR="0097276D" w:rsidRDefault="0097276D" w:rsidP="00801D79">
            <w:pPr>
              <w:pStyle w:val="Lijstalinea"/>
              <w:numPr>
                <w:ilvl w:val="0"/>
                <w:numId w:val="1"/>
              </w:numPr>
              <w:shd w:val="clear" w:color="auto" w:fill="FEFEFE"/>
              <w:spacing w:line="276" w:lineRule="auto"/>
              <w:ind w:right="141"/>
              <w:jc w:val="both"/>
            </w:pPr>
            <w:r>
              <w:rPr>
                <w:b/>
                <w:bCs/>
                <w:color w:val="000000"/>
                <w:sz w:val="20"/>
                <w:szCs w:val="20"/>
                <w:lang w:val="en" w:eastAsia="en-US"/>
              </w:rPr>
              <w:t>Commission to consider Irish tax rulings on Apple illegal state aid</w:t>
            </w:r>
          </w:p>
          <w:p w:rsidR="0097276D" w:rsidRDefault="0097276D">
            <w:pPr>
              <w:pStyle w:val="Lijstalinea"/>
              <w:shd w:val="clear" w:color="auto" w:fill="FEFEFE"/>
              <w:spacing w:line="276" w:lineRule="auto"/>
              <w:ind w:left="284" w:right="141"/>
              <w:jc w:val="both"/>
            </w:pPr>
            <w:r>
              <w:rPr>
                <w:b/>
                <w:bCs/>
                <w:color w:val="000000"/>
                <w:sz w:val="20"/>
                <w:szCs w:val="20"/>
                <w:lang w:val="en" w:eastAsia="en-US"/>
              </w:rPr>
              <w:t> </w:t>
            </w:r>
          </w:p>
          <w:p w:rsidR="0097276D" w:rsidRDefault="0097276D">
            <w:pPr>
              <w:pStyle w:val="Lijstalinea"/>
              <w:shd w:val="clear" w:color="auto" w:fill="FEFEFE"/>
              <w:spacing w:line="276" w:lineRule="auto"/>
              <w:ind w:left="567"/>
              <w:jc w:val="both"/>
            </w:pPr>
            <w:r>
              <w:rPr>
                <w:color w:val="000000"/>
                <w:sz w:val="20"/>
                <w:szCs w:val="20"/>
                <w:lang w:val="en" w:eastAsia="en-US"/>
              </w:rPr>
              <w:t xml:space="preserve">According to media reports, the European Commission is about to issue a decision that the rulings of the Irish tax administration on the tax treatment of two subsidiaries of Apple, </w:t>
            </w:r>
            <w:r>
              <w:rPr>
                <w:color w:val="000000"/>
                <w:sz w:val="20"/>
                <w:szCs w:val="20"/>
                <w:lang w:val="en-GB" w:eastAsia="en-US"/>
              </w:rPr>
              <w:t xml:space="preserve">Apple Sales International und Apple Operations Europe, </w:t>
            </w:r>
            <w:r>
              <w:rPr>
                <w:color w:val="000000"/>
                <w:sz w:val="20"/>
                <w:szCs w:val="20"/>
                <w:lang w:val="en" w:eastAsia="en-US"/>
              </w:rPr>
              <w:t>were illegal state aid. The decisive element in distinguishing state aid from tax is the question whether the advantageous treatment of an undertaking or group of undertakings has been selective. State aid affecting trade between member states is in principle incompatible with the EU single market, subject to a limited number of exceptions and to notification to the European Commission which, in the case of Apple, has not taken place. If the aid is found to be illegal, Ireland will have to claim back billions of unpaid tax from Apple. There are two similar cases pending, concerning Starbucks in the Netherlands and Fiat Finance and Trade in Luxembourg.</w:t>
            </w:r>
          </w:p>
          <w:p w:rsidR="0097276D" w:rsidRDefault="0097276D">
            <w:pPr>
              <w:pStyle w:val="Lijstalinea"/>
              <w:shd w:val="clear" w:color="auto" w:fill="FEFEFE"/>
              <w:spacing w:line="276" w:lineRule="auto"/>
              <w:ind w:left="567"/>
              <w:jc w:val="both"/>
            </w:pPr>
            <w:r>
              <w:rPr>
                <w:color w:val="000000"/>
                <w:sz w:val="20"/>
                <w:szCs w:val="20"/>
                <w:lang w:val="en" w:eastAsia="en-US"/>
              </w:rPr>
              <w:t> </w:t>
            </w:r>
          </w:p>
          <w:p w:rsidR="0097276D" w:rsidRDefault="0097276D" w:rsidP="00801D79">
            <w:pPr>
              <w:pStyle w:val="Lijstalinea"/>
              <w:numPr>
                <w:ilvl w:val="0"/>
                <w:numId w:val="2"/>
              </w:numPr>
              <w:spacing w:line="276" w:lineRule="auto"/>
            </w:pPr>
            <w:hyperlink r:id="rId6" w:history="1">
              <w:r>
                <w:rPr>
                  <w:rStyle w:val="Hyperlink"/>
                  <w:sz w:val="20"/>
                  <w:szCs w:val="20"/>
                  <w:lang w:val="en" w:eastAsia="en-US"/>
                </w:rPr>
                <w:t>European Commission press release of 11 July 2014 (opening of investigations)</w:t>
              </w:r>
            </w:hyperlink>
          </w:p>
          <w:p w:rsidR="0097276D" w:rsidRDefault="0097276D">
            <w:pPr>
              <w:pStyle w:val="Lijstalinea"/>
              <w:shd w:val="clear" w:color="auto" w:fill="FEFEFE"/>
              <w:spacing w:line="276" w:lineRule="auto"/>
              <w:ind w:left="927"/>
              <w:jc w:val="both"/>
            </w:pPr>
            <w:r>
              <w:rPr>
                <w:color w:val="000000"/>
                <w:sz w:val="20"/>
                <w:szCs w:val="20"/>
                <w:lang w:val="en" w:eastAsia="en-US"/>
              </w:rPr>
              <w:t> </w:t>
            </w:r>
          </w:p>
          <w:p w:rsidR="0097276D" w:rsidRDefault="0097276D">
            <w:pPr>
              <w:pStyle w:val="Lijstalinea"/>
              <w:shd w:val="clear" w:color="auto" w:fill="FEFEFE"/>
              <w:spacing w:line="276" w:lineRule="auto"/>
              <w:ind w:left="927"/>
              <w:jc w:val="both"/>
            </w:pPr>
            <w:r>
              <w:rPr>
                <w:color w:val="000000"/>
                <w:sz w:val="20"/>
                <w:szCs w:val="20"/>
                <w:lang w:val="en" w:eastAsia="en-US"/>
              </w:rPr>
              <w:t> </w:t>
            </w:r>
          </w:p>
          <w:p w:rsidR="0097276D" w:rsidRDefault="0097276D" w:rsidP="00801D79">
            <w:pPr>
              <w:pStyle w:val="Lijstalinea"/>
              <w:numPr>
                <w:ilvl w:val="0"/>
                <w:numId w:val="1"/>
              </w:numPr>
              <w:spacing w:line="276" w:lineRule="auto"/>
            </w:pPr>
            <w:r>
              <w:rPr>
                <w:b/>
                <w:bCs/>
                <w:color w:val="000000"/>
                <w:sz w:val="20"/>
                <w:szCs w:val="20"/>
                <w:lang w:val="en-GB" w:eastAsia="en-US"/>
              </w:rPr>
              <w:t xml:space="preserve">Germany referred to Court over VAT refund rules for non-EU operators </w:t>
            </w:r>
          </w:p>
          <w:p w:rsidR="0097276D" w:rsidRDefault="0097276D">
            <w:pPr>
              <w:pStyle w:val="Lijstalinea"/>
              <w:shd w:val="clear" w:color="auto" w:fill="FEFEFE"/>
              <w:spacing w:line="276" w:lineRule="auto"/>
              <w:ind w:left="567"/>
              <w:jc w:val="both"/>
            </w:pPr>
            <w:r>
              <w:rPr>
                <w:color w:val="000000"/>
                <w:sz w:val="20"/>
                <w:szCs w:val="20"/>
                <w:lang w:val="en" w:eastAsia="en-US"/>
              </w:rPr>
              <w:t> </w:t>
            </w:r>
          </w:p>
          <w:p w:rsidR="0097276D" w:rsidRDefault="0097276D">
            <w:pPr>
              <w:pStyle w:val="Lijstalinea"/>
              <w:shd w:val="clear" w:color="auto" w:fill="FEFEFE"/>
              <w:spacing w:line="276" w:lineRule="auto"/>
              <w:ind w:left="567"/>
              <w:jc w:val="both"/>
            </w:pPr>
            <w:r>
              <w:rPr>
                <w:color w:val="000000"/>
                <w:sz w:val="20"/>
                <w:szCs w:val="20"/>
                <w:lang w:val="en-GB" w:eastAsia="en-US"/>
              </w:rPr>
              <w:t>On 25 September 2014, the European Commission decided to refer Germany to the EU Court of Justice regarding its rules on VAT refund which discriminate against non-EU operators. Under German legislation, operators established in another EU member state can authorise a third person to sign or submit their refund form to recover VAT, but taxable persons established outside the EU must personally sign the application form. The Commission considers that this requirement for third country operators goes against the EU law principles of effectiveness, proportionality and equivalence. There is no provision in EU law which requires VAT refund forms to be personally signed.</w:t>
            </w:r>
          </w:p>
          <w:p w:rsidR="0097276D" w:rsidRDefault="0097276D">
            <w:pPr>
              <w:pStyle w:val="Lijstalinea"/>
              <w:shd w:val="clear" w:color="auto" w:fill="FEFEFE"/>
              <w:spacing w:line="276" w:lineRule="auto"/>
              <w:ind w:left="567"/>
              <w:jc w:val="both"/>
            </w:pPr>
            <w:r>
              <w:rPr>
                <w:color w:val="000000"/>
                <w:sz w:val="20"/>
                <w:szCs w:val="20"/>
                <w:lang w:val="en" w:eastAsia="en-US"/>
              </w:rPr>
              <w:t> </w:t>
            </w:r>
          </w:p>
          <w:p w:rsidR="0097276D" w:rsidRDefault="0097276D" w:rsidP="00801D79">
            <w:pPr>
              <w:pStyle w:val="Lijstalinea"/>
              <w:numPr>
                <w:ilvl w:val="0"/>
                <w:numId w:val="2"/>
              </w:numPr>
              <w:shd w:val="clear" w:color="auto" w:fill="FEFEFE"/>
              <w:spacing w:line="276" w:lineRule="auto"/>
              <w:jc w:val="both"/>
            </w:pPr>
            <w:hyperlink r:id="rId7" w:history="1">
              <w:r>
                <w:rPr>
                  <w:rStyle w:val="Hyperlink"/>
                  <w:sz w:val="20"/>
                  <w:szCs w:val="20"/>
                  <w:lang w:val="en" w:eastAsia="en-US"/>
                </w:rPr>
                <w:t>Press release of 25 September 2014</w:t>
              </w:r>
            </w:hyperlink>
          </w:p>
          <w:p w:rsidR="0097276D" w:rsidRDefault="0097276D">
            <w:pPr>
              <w:pStyle w:val="Lijstalinea"/>
              <w:shd w:val="clear" w:color="auto" w:fill="FEFEFE"/>
              <w:spacing w:line="276" w:lineRule="auto"/>
              <w:ind w:left="567"/>
              <w:jc w:val="both"/>
            </w:pPr>
            <w:r>
              <w:rPr>
                <w:color w:val="000000"/>
                <w:sz w:val="20"/>
                <w:szCs w:val="20"/>
                <w:lang w:val="en" w:eastAsia="en-US"/>
              </w:rPr>
              <w:t> </w:t>
            </w:r>
          </w:p>
          <w:p w:rsidR="0097276D" w:rsidRDefault="0097276D">
            <w:pPr>
              <w:pStyle w:val="Lijstalinea"/>
              <w:shd w:val="clear" w:color="auto" w:fill="FEFEFE"/>
              <w:spacing w:line="276" w:lineRule="auto"/>
              <w:ind w:left="567"/>
              <w:jc w:val="both"/>
            </w:pPr>
            <w:r>
              <w:rPr>
                <w:color w:val="000000"/>
                <w:sz w:val="20"/>
                <w:szCs w:val="20"/>
                <w:lang w:val="en" w:eastAsia="en-US"/>
              </w:rPr>
              <w:t> </w:t>
            </w:r>
          </w:p>
          <w:p w:rsidR="0097276D" w:rsidRDefault="0097276D" w:rsidP="00801D79">
            <w:pPr>
              <w:pStyle w:val="Lijstalinea"/>
              <w:numPr>
                <w:ilvl w:val="0"/>
                <w:numId w:val="1"/>
              </w:numPr>
              <w:shd w:val="clear" w:color="auto" w:fill="FEFEFE"/>
              <w:spacing w:line="276" w:lineRule="auto"/>
              <w:jc w:val="both"/>
            </w:pPr>
            <w:r>
              <w:rPr>
                <w:b/>
                <w:bCs/>
                <w:color w:val="000000"/>
                <w:sz w:val="20"/>
                <w:szCs w:val="20"/>
                <w:lang w:val="en-GB" w:eastAsia="en-US"/>
              </w:rPr>
              <w:t>Commission asks Italy to amend inheritance tax law</w:t>
            </w:r>
          </w:p>
          <w:p w:rsidR="0097276D" w:rsidRDefault="0097276D">
            <w:pPr>
              <w:pStyle w:val="Lijstalinea"/>
              <w:shd w:val="clear" w:color="auto" w:fill="FEFEFE"/>
              <w:spacing w:line="276" w:lineRule="auto"/>
              <w:ind w:left="644"/>
              <w:jc w:val="both"/>
            </w:pPr>
            <w:r>
              <w:rPr>
                <w:b/>
                <w:bCs/>
                <w:color w:val="000000"/>
                <w:sz w:val="20"/>
                <w:szCs w:val="20"/>
                <w:lang w:val="en-GB" w:eastAsia="en-US"/>
              </w:rPr>
              <w:t> </w:t>
            </w:r>
          </w:p>
          <w:p w:rsidR="0097276D" w:rsidRDefault="0097276D">
            <w:pPr>
              <w:pStyle w:val="Lijstalinea"/>
              <w:shd w:val="clear" w:color="auto" w:fill="FEFEFE"/>
              <w:spacing w:line="276" w:lineRule="auto"/>
              <w:ind w:left="644"/>
              <w:jc w:val="both"/>
            </w:pPr>
            <w:r>
              <w:rPr>
                <w:color w:val="000000"/>
                <w:sz w:val="20"/>
                <w:szCs w:val="20"/>
                <w:lang w:val="en-GB" w:eastAsia="en-US"/>
              </w:rPr>
              <w:t xml:space="preserve">On 25 September 2014, the European Commission has requested Italy to amend its inheritance tax legislation which discriminates against bequests to non-profit organisations in another EU or EEA country. Under Italian law, legacies to non-profit organisations pursuing public and social goals are exempt from tax. However, if these are established elsewhere in the EU/EEA, an exemption is only granted if there is reciprocity from that member state, otherwise, the legacy is taxed at 8% of its value. In addition, Italian legislation excludes Italian bonds and public securities from the inheritance estate, </w:t>
            </w:r>
            <w:r>
              <w:rPr>
                <w:color w:val="000000"/>
                <w:sz w:val="20"/>
                <w:szCs w:val="20"/>
                <w:lang w:val="en-GB" w:eastAsia="en-US"/>
              </w:rPr>
              <w:lastRenderedPageBreak/>
              <w:t>while bonds and public securities issued by other EU and EEA states are not allowed this exclusion. The requests take the form of two reasoned opinions, giving Italy two months to react.</w:t>
            </w:r>
          </w:p>
          <w:p w:rsidR="0097276D" w:rsidRDefault="0097276D">
            <w:pPr>
              <w:pStyle w:val="Lijstalinea"/>
              <w:shd w:val="clear" w:color="auto" w:fill="FEFEFE"/>
              <w:spacing w:line="276" w:lineRule="auto"/>
              <w:ind w:left="644"/>
              <w:jc w:val="both"/>
            </w:pPr>
            <w:r>
              <w:rPr>
                <w:color w:val="000000"/>
                <w:sz w:val="20"/>
                <w:szCs w:val="20"/>
                <w:lang w:val="en-GB" w:eastAsia="en-US"/>
              </w:rPr>
              <w:t> </w:t>
            </w:r>
          </w:p>
          <w:p w:rsidR="0097276D" w:rsidRDefault="0097276D" w:rsidP="00801D79">
            <w:pPr>
              <w:pStyle w:val="Lijstalinea"/>
              <w:numPr>
                <w:ilvl w:val="0"/>
                <w:numId w:val="2"/>
              </w:numPr>
              <w:shd w:val="clear" w:color="auto" w:fill="FEFEFE"/>
              <w:spacing w:line="276" w:lineRule="auto"/>
              <w:jc w:val="both"/>
            </w:pPr>
            <w:hyperlink r:id="rId8" w:history="1">
              <w:r>
                <w:rPr>
                  <w:rStyle w:val="Hyperlink"/>
                  <w:sz w:val="20"/>
                  <w:szCs w:val="20"/>
                  <w:lang w:val="en-GB" w:eastAsia="en-US"/>
                </w:rPr>
                <w:t>September infringement package</w:t>
              </w:r>
            </w:hyperlink>
          </w:p>
          <w:p w:rsidR="0097276D" w:rsidRDefault="0097276D">
            <w:pPr>
              <w:pStyle w:val="Lijstalinea"/>
              <w:shd w:val="clear" w:color="auto" w:fill="FEFEFE"/>
              <w:spacing w:line="276" w:lineRule="auto"/>
              <w:ind w:left="644"/>
              <w:jc w:val="both"/>
            </w:pPr>
            <w:r>
              <w:rPr>
                <w:color w:val="000000"/>
                <w:sz w:val="20"/>
                <w:szCs w:val="20"/>
                <w:lang w:val="en" w:eastAsia="en-US"/>
              </w:rPr>
              <w:t> </w:t>
            </w:r>
          </w:p>
          <w:p w:rsidR="0097276D" w:rsidRDefault="0097276D">
            <w:pPr>
              <w:pStyle w:val="Lijstalinea"/>
              <w:shd w:val="clear" w:color="auto" w:fill="FEFEFE"/>
              <w:spacing w:line="276" w:lineRule="auto"/>
              <w:ind w:left="644"/>
              <w:jc w:val="both"/>
            </w:pPr>
            <w:r>
              <w:rPr>
                <w:color w:val="000000"/>
                <w:sz w:val="20"/>
                <w:szCs w:val="20"/>
                <w:lang w:val="en" w:eastAsia="en-US"/>
              </w:rPr>
              <w:t> </w:t>
            </w:r>
          </w:p>
          <w:p w:rsidR="0097276D" w:rsidRDefault="0097276D" w:rsidP="00801D79">
            <w:pPr>
              <w:pStyle w:val="Lijstalinea"/>
              <w:numPr>
                <w:ilvl w:val="0"/>
                <w:numId w:val="1"/>
              </w:numPr>
              <w:spacing w:line="276" w:lineRule="auto"/>
              <w:jc w:val="both"/>
            </w:pPr>
            <w:r>
              <w:rPr>
                <w:b/>
                <w:bCs/>
                <w:color w:val="000000"/>
                <w:sz w:val="20"/>
                <w:szCs w:val="20"/>
                <w:lang w:val="en" w:eastAsia="en-US"/>
              </w:rPr>
              <w:t xml:space="preserve">CJEU rules on VAT on services supplied by a non-EU main company to its EU branch </w:t>
            </w:r>
          </w:p>
          <w:p w:rsidR="0097276D" w:rsidRDefault="0097276D">
            <w:pPr>
              <w:pStyle w:val="Lijstalinea"/>
              <w:spacing w:line="276" w:lineRule="auto"/>
              <w:ind w:left="644"/>
              <w:jc w:val="both"/>
            </w:pPr>
            <w:r>
              <w:rPr>
                <w:color w:val="000000"/>
                <w:sz w:val="20"/>
                <w:szCs w:val="20"/>
                <w:lang w:val="en" w:eastAsia="en-US"/>
              </w:rPr>
              <w:t> </w:t>
            </w:r>
          </w:p>
          <w:p w:rsidR="0097276D" w:rsidRDefault="0097276D">
            <w:pPr>
              <w:pStyle w:val="Lijstalinea"/>
              <w:spacing w:line="276" w:lineRule="auto"/>
              <w:ind w:left="644"/>
              <w:jc w:val="both"/>
            </w:pPr>
            <w:r>
              <w:rPr>
                <w:color w:val="000000"/>
                <w:sz w:val="20"/>
                <w:szCs w:val="20"/>
                <w:lang w:val="en" w:eastAsia="en-US"/>
              </w:rPr>
              <w:t xml:space="preserve">On 17 September 2014, the Court of Justice of the EU (CJEU) has rendered its judgment on the case Skandia (C-7/13) concerning the question whether </w:t>
            </w:r>
            <w:r>
              <w:rPr>
                <w:color w:val="000000"/>
                <w:sz w:val="20"/>
                <w:szCs w:val="20"/>
                <w:lang w:val="en-GB" w:eastAsia="en-US"/>
              </w:rPr>
              <w:t>services supplied by a main company with its seat in a third country to its branch belonging to a VAT group within an EU member state are taxable</w:t>
            </w:r>
            <w:r>
              <w:rPr>
                <w:color w:val="000000"/>
                <w:sz w:val="20"/>
                <w:szCs w:val="20"/>
                <w:lang w:val="en" w:eastAsia="en-US"/>
              </w:rPr>
              <w:t>. The Court confirmed this where the branch belongs to a group of persons whom it is possible to regard as a single taxable person for VAT purposes.</w:t>
            </w:r>
          </w:p>
          <w:p w:rsidR="0097276D" w:rsidRDefault="0097276D">
            <w:pPr>
              <w:pStyle w:val="Lijstalinea"/>
              <w:spacing w:line="276" w:lineRule="auto"/>
              <w:ind w:left="644"/>
              <w:jc w:val="both"/>
            </w:pPr>
            <w:r>
              <w:rPr>
                <w:color w:val="000000"/>
                <w:sz w:val="20"/>
                <w:szCs w:val="20"/>
                <w:lang w:val="en" w:eastAsia="en-US"/>
              </w:rPr>
              <w:t> </w:t>
            </w:r>
          </w:p>
          <w:p w:rsidR="0097276D" w:rsidRDefault="0097276D" w:rsidP="00801D79">
            <w:pPr>
              <w:pStyle w:val="Lijstalinea"/>
              <w:numPr>
                <w:ilvl w:val="0"/>
                <w:numId w:val="2"/>
              </w:numPr>
              <w:spacing w:line="276" w:lineRule="auto"/>
              <w:jc w:val="both"/>
            </w:pPr>
            <w:hyperlink r:id="rId9" w:history="1">
              <w:r>
                <w:rPr>
                  <w:rStyle w:val="Hyperlink"/>
                  <w:sz w:val="20"/>
                  <w:szCs w:val="20"/>
                  <w:lang w:val="en-US" w:eastAsia="en-US"/>
                </w:rPr>
                <w:t>Judgment</w:t>
              </w:r>
            </w:hyperlink>
          </w:p>
          <w:p w:rsidR="0097276D" w:rsidRDefault="0097276D">
            <w:pPr>
              <w:pStyle w:val="Lijstalinea"/>
              <w:spacing w:line="276" w:lineRule="auto"/>
              <w:ind w:left="927"/>
              <w:jc w:val="both"/>
            </w:pPr>
            <w:r>
              <w:rPr>
                <w:sz w:val="20"/>
                <w:szCs w:val="20"/>
                <w:lang w:val="en-US" w:eastAsia="en-US"/>
              </w:rPr>
              <w:t> </w:t>
            </w:r>
          </w:p>
          <w:p w:rsidR="0097276D" w:rsidRDefault="0097276D">
            <w:pPr>
              <w:pStyle w:val="Lijstalinea"/>
              <w:spacing w:line="276" w:lineRule="auto"/>
              <w:ind w:left="927"/>
              <w:jc w:val="both"/>
            </w:pPr>
            <w:r>
              <w:rPr>
                <w:sz w:val="20"/>
                <w:szCs w:val="20"/>
                <w:lang w:val="en-US" w:eastAsia="en-US"/>
              </w:rPr>
              <w:t> </w:t>
            </w:r>
          </w:p>
          <w:p w:rsidR="0097276D" w:rsidRDefault="0097276D" w:rsidP="00801D79">
            <w:pPr>
              <w:pStyle w:val="Lijstalinea"/>
              <w:numPr>
                <w:ilvl w:val="0"/>
                <w:numId w:val="1"/>
              </w:numPr>
              <w:spacing w:line="276" w:lineRule="auto"/>
              <w:jc w:val="both"/>
            </w:pPr>
            <w:r>
              <w:rPr>
                <w:b/>
                <w:bCs/>
                <w:sz w:val="20"/>
                <w:szCs w:val="20"/>
                <w:lang w:val="en-GB" w:eastAsia="en-US"/>
              </w:rPr>
              <w:t>Commission refers the Netherlands to CJEU over VAT treatment of water sport activities</w:t>
            </w:r>
          </w:p>
          <w:p w:rsidR="0097276D" w:rsidRDefault="0097276D">
            <w:pPr>
              <w:pStyle w:val="Lijstalinea"/>
              <w:spacing w:line="276" w:lineRule="auto"/>
              <w:ind w:left="644"/>
              <w:jc w:val="both"/>
            </w:pPr>
            <w:r>
              <w:rPr>
                <w:sz w:val="20"/>
                <w:szCs w:val="20"/>
                <w:lang w:val="en-GB" w:eastAsia="en-US"/>
              </w:rPr>
              <w:t> </w:t>
            </w:r>
          </w:p>
          <w:p w:rsidR="0097276D" w:rsidRDefault="0097276D">
            <w:pPr>
              <w:pStyle w:val="Lijstalinea"/>
              <w:spacing w:line="276" w:lineRule="auto"/>
              <w:ind w:left="644"/>
              <w:jc w:val="both"/>
            </w:pPr>
            <w:r>
              <w:rPr>
                <w:sz w:val="20"/>
                <w:szCs w:val="20"/>
                <w:lang w:val="en-GB" w:eastAsia="en-US"/>
              </w:rPr>
              <w:t>On 25 September 2014, the European Commission has decided to refer the Netherlands to the EU Court of Justice for failing to fully comply with EU rules on VAT exemptions for water sports activities. According to the Commission, Dutch legislation is too strict to the extent that it exempts sport or physical education services by non-profit organisations from VAT only if these services are provided by volunteers, and too wide to the extent that they exempt the letting of berths and moorings for vessels provided by these water sport organisations even when it is not linked to sport activities.</w:t>
            </w:r>
          </w:p>
          <w:p w:rsidR="0097276D" w:rsidRDefault="0097276D">
            <w:pPr>
              <w:pStyle w:val="Lijstalinea"/>
              <w:spacing w:line="276" w:lineRule="auto"/>
              <w:ind w:left="644"/>
              <w:jc w:val="both"/>
            </w:pPr>
            <w:r>
              <w:rPr>
                <w:sz w:val="20"/>
                <w:szCs w:val="20"/>
                <w:lang w:val="en-GB" w:eastAsia="en-US"/>
              </w:rPr>
              <w:t> </w:t>
            </w:r>
          </w:p>
          <w:p w:rsidR="0097276D" w:rsidRDefault="0097276D" w:rsidP="00801D79">
            <w:pPr>
              <w:pStyle w:val="Lijstalinea"/>
              <w:numPr>
                <w:ilvl w:val="0"/>
                <w:numId w:val="2"/>
              </w:numPr>
              <w:spacing w:line="276" w:lineRule="auto"/>
              <w:jc w:val="both"/>
            </w:pPr>
            <w:hyperlink r:id="rId10" w:history="1">
              <w:r>
                <w:rPr>
                  <w:rStyle w:val="Hyperlink"/>
                  <w:sz w:val="20"/>
                  <w:szCs w:val="20"/>
                  <w:lang w:val="en-GB" w:eastAsia="en-US"/>
                </w:rPr>
                <w:t>Press release</w:t>
              </w:r>
            </w:hyperlink>
          </w:p>
          <w:p w:rsidR="0097276D" w:rsidRDefault="0097276D">
            <w:pPr>
              <w:pStyle w:val="Lijstalinea"/>
              <w:spacing w:line="276" w:lineRule="auto"/>
              <w:ind w:left="927"/>
              <w:jc w:val="both"/>
            </w:pPr>
            <w:r>
              <w:rPr>
                <w:sz w:val="20"/>
                <w:szCs w:val="20"/>
                <w:lang w:val="en-GB" w:eastAsia="en-US"/>
              </w:rPr>
              <w:t> </w:t>
            </w:r>
          </w:p>
          <w:p w:rsidR="0097276D" w:rsidRDefault="0097276D">
            <w:pPr>
              <w:pStyle w:val="Lijstalinea"/>
              <w:spacing w:line="276" w:lineRule="auto"/>
              <w:ind w:left="927"/>
              <w:jc w:val="both"/>
            </w:pPr>
            <w:r>
              <w:rPr>
                <w:sz w:val="20"/>
                <w:szCs w:val="20"/>
                <w:lang w:val="en-GB" w:eastAsia="en-US"/>
              </w:rPr>
              <w:t> </w:t>
            </w:r>
          </w:p>
          <w:p w:rsidR="0097276D" w:rsidRDefault="0097276D">
            <w:pPr>
              <w:spacing w:line="276" w:lineRule="auto"/>
              <w:jc w:val="center"/>
            </w:pPr>
            <w:r>
              <w:rPr>
                <w:rFonts w:ascii="Calibri" w:hAnsi="Calibri"/>
                <w:sz w:val="20"/>
                <w:szCs w:val="20"/>
                <w:lang w:val="en-GB" w:eastAsia="en-US"/>
              </w:rPr>
              <w:t>*****</w:t>
            </w:r>
          </w:p>
          <w:p w:rsidR="0097276D" w:rsidRDefault="0097276D">
            <w:pPr>
              <w:spacing w:line="276" w:lineRule="auto"/>
              <w:jc w:val="both"/>
            </w:pPr>
            <w:r>
              <w:rPr>
                <w:rFonts w:ascii="Calibri" w:hAnsi="Calibri"/>
                <w:sz w:val="20"/>
                <w:szCs w:val="20"/>
                <w:lang w:val="en-GB" w:eastAsia="en-US"/>
              </w:rPr>
              <w:t> </w:t>
            </w:r>
          </w:p>
          <w:p w:rsidR="0097276D" w:rsidRDefault="0097276D">
            <w:pPr>
              <w:pStyle w:val="Lijstalinea"/>
              <w:spacing w:line="276" w:lineRule="auto"/>
              <w:ind w:left="126"/>
              <w:jc w:val="cente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97276D" w:rsidRDefault="0097276D">
            <w:pPr>
              <w:pStyle w:val="Lijstalinea"/>
              <w:spacing w:line="276" w:lineRule="auto"/>
              <w:ind w:left="126"/>
              <w:jc w:val="center"/>
            </w:pPr>
            <w:r>
              <w:rPr>
                <w:i/>
                <w:iCs/>
                <w:sz w:val="20"/>
                <w:szCs w:val="20"/>
                <w:lang w:val="en-GB" w:eastAsia="en-US"/>
              </w:rPr>
              <w:t> </w:t>
            </w:r>
          </w:p>
          <w:p w:rsidR="0097276D" w:rsidRDefault="0097276D">
            <w:pPr>
              <w:pStyle w:val="Lijstalinea"/>
              <w:spacing w:line="276" w:lineRule="auto"/>
              <w:ind w:left="126"/>
              <w:jc w:val="center"/>
            </w:pPr>
            <w:hyperlink r:id="rId11" w:history="1">
              <w:r>
                <w:rPr>
                  <w:rStyle w:val="Hyperlink"/>
                  <w:i/>
                  <w:iCs/>
                  <w:sz w:val="20"/>
                  <w:szCs w:val="20"/>
                  <w:lang w:val="en-GB" w:eastAsia="en-US"/>
                </w:rPr>
                <w:t>www.cfe-eutax.org</w:t>
              </w:r>
            </w:hyperlink>
          </w:p>
          <w:p w:rsidR="0097276D" w:rsidRDefault="0097276D">
            <w:pPr>
              <w:pStyle w:val="Lijstalinea"/>
              <w:spacing w:line="276" w:lineRule="auto"/>
              <w:ind w:left="126"/>
              <w:jc w:val="center"/>
            </w:pPr>
            <w:r>
              <w:rPr>
                <w:rStyle w:val="Hyperlink"/>
                <w:i/>
                <w:iCs/>
                <w:sz w:val="20"/>
                <w:szCs w:val="20"/>
                <w:u w:val="none"/>
                <w:lang w:val="en-GB" w:eastAsia="en-US"/>
              </w:rPr>
              <w:t> </w:t>
            </w:r>
          </w:p>
          <w:p w:rsidR="0097276D" w:rsidRDefault="0097276D">
            <w:pPr>
              <w:pStyle w:val="Lijstalinea"/>
              <w:spacing w:line="276" w:lineRule="auto"/>
              <w:ind w:left="126"/>
              <w:jc w:val="center"/>
            </w:pPr>
            <w:r>
              <w:rPr>
                <w:i/>
                <w:iCs/>
                <w:sz w:val="20"/>
                <w:szCs w:val="20"/>
                <w:lang w:val="en-US" w:eastAsia="en-US"/>
              </w:rPr>
              <w:t xml:space="preserve">Follow us on </w:t>
            </w:r>
            <w:hyperlink r:id="rId12" w:history="1">
              <w:r>
                <w:rPr>
                  <w:rStyle w:val="Hyperlink"/>
                  <w:sz w:val="20"/>
                  <w:szCs w:val="20"/>
                  <w:lang w:val="en-US" w:eastAsia="en-US"/>
                </w:rPr>
                <w:t>Linked in</w:t>
              </w:r>
            </w:hyperlink>
            <w:r>
              <w:rPr>
                <w:sz w:val="20"/>
                <w:szCs w:val="20"/>
                <w:lang w:eastAsia="en-US"/>
              </w:rPr>
              <w:t xml:space="preserve"> </w:t>
            </w:r>
            <w:r>
              <w:rPr>
                <w:noProof/>
                <w:sz w:val="20"/>
                <w:szCs w:val="20"/>
              </w:rPr>
              <mc:AlternateContent>
                <mc:Choice Requires="wps">
                  <w:drawing>
                    <wp:inline distT="0" distB="0" distL="0" distR="0">
                      <wp:extent cx="200025" cy="190500"/>
                      <wp:effectExtent l="0" t="0" r="0" b="0"/>
                      <wp:docPr id="1" name="Rechthoek 1" descr="cid:image004.png@01CFAA5C.15EA1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1" o:spid="_x0000_s1026" alt="cid:image004.png@01CFAA5C.15EA1810" style="width:15.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" filled="f" stroked="f">
                      <o:lock v:ext="edit" aspectratio="t"/>
                      <w10:anchorlock/>
                    </v:rect>
                  </w:pict>
                </mc:Fallback>
              </mc:AlternateContent>
            </w:r>
            <w:r>
              <w:rPr>
                <w:i/>
                <w:iCs/>
                <w:sz w:val="20"/>
                <w:szCs w:val="20"/>
                <w:lang w:val="en-US" w:eastAsia="en-US"/>
              </w:rPr>
              <w:t>  </w:t>
            </w:r>
          </w:p>
        </w:tc>
      </w:tr>
      <w:tr w:rsidR="0097276D" w:rsidTr="0097276D">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97276D">
              <w:trPr>
                <w:tblCellSpacing w:w="0" w:type="dxa"/>
              </w:trPr>
              <w:tc>
                <w:tcPr>
                  <w:tcW w:w="0" w:type="auto"/>
                  <w:vAlign w:val="center"/>
                  <w:hideMark/>
                </w:tcPr>
                <w:p w:rsidR="0097276D" w:rsidRDefault="0097276D">
                  <w:pPr>
                    <w:spacing w:line="276" w:lineRule="auto"/>
                  </w:pPr>
                  <w:r>
                    <w:rPr>
                      <w:rFonts w:ascii="Calibri" w:hAnsi="Calibri"/>
                      <w:sz w:val="22"/>
                      <w:szCs w:val="22"/>
                      <w:lang w:val="en-GB" w:eastAsia="en-US"/>
                    </w:rPr>
                    <w:lastRenderedPageBreak/>
                    <w:t> </w:t>
                  </w:r>
                </w:p>
              </w:tc>
            </w:tr>
            <w:tr w:rsidR="0097276D">
              <w:trPr>
                <w:tblCellSpacing w:w="0" w:type="dxa"/>
              </w:trPr>
              <w:tc>
                <w:tcPr>
                  <w:tcW w:w="0" w:type="auto"/>
                  <w:vAlign w:val="center"/>
                  <w:hideMark/>
                </w:tcPr>
                <w:p w:rsidR="0097276D" w:rsidRDefault="0097276D">
                  <w:pPr>
                    <w:spacing w:line="276" w:lineRule="auto"/>
                  </w:pPr>
                  <w:r>
                    <w:rPr>
                      <w:rFonts w:ascii="Calibri" w:hAnsi="Calibri"/>
                      <w:sz w:val="22"/>
                      <w:szCs w:val="22"/>
                      <w:lang w:val="en-GB" w:eastAsia="en-US"/>
                    </w:rPr>
                    <w:t> </w:t>
                  </w:r>
                </w:p>
              </w:tc>
            </w:tr>
          </w:tbl>
          <w:p w:rsidR="0097276D" w:rsidRDefault="0097276D">
            <w:pPr>
              <w:rPr>
                <w:rFonts w:eastAsia="Times New Roman"/>
                <w:sz w:val="20"/>
                <w:szCs w:val="20"/>
              </w:rPr>
            </w:pPr>
          </w:p>
        </w:tc>
      </w:tr>
    </w:tbl>
    <w:p w:rsidR="00667086" w:rsidRDefault="00667086">
      <w:bookmarkStart w:id="0" w:name="_GoBack"/>
      <w:bookmarkEnd w:id="0"/>
    </w:p>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92BF1"/>
    <w:multiLevelType w:val="hybridMultilevel"/>
    <w:tmpl w:val="746AA4D4"/>
    <w:lvl w:ilvl="0" w:tplc="275AEE7A">
      <w:start w:val="22"/>
      <w:numFmt w:val="bullet"/>
      <w:lvlText w:val="-"/>
      <w:lvlJc w:val="left"/>
      <w:pPr>
        <w:ind w:left="927" w:hanging="360"/>
      </w:pPr>
      <w:rPr>
        <w:rFonts w:ascii="Calibri" w:eastAsia="Calibri" w:hAnsi="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
    <w:nsid w:val="7C6E6A2C"/>
    <w:multiLevelType w:val="hybridMultilevel"/>
    <w:tmpl w:val="2C1A620A"/>
    <w:lvl w:ilvl="0" w:tplc="A9E6723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6D"/>
    <w:rsid w:val="00667086"/>
    <w:rsid w:val="00972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276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7276D"/>
    <w:rPr>
      <w:color w:val="0000FF"/>
      <w:u w:val="single"/>
    </w:rPr>
  </w:style>
  <w:style w:type="paragraph" w:styleId="Lijstalinea">
    <w:name w:val="List Paragraph"/>
    <w:basedOn w:val="Standaard"/>
    <w:uiPriority w:val="34"/>
    <w:qFormat/>
    <w:rsid w:val="0097276D"/>
    <w:pPr>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276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7276D"/>
    <w:rPr>
      <w:color w:val="0000FF"/>
      <w:u w:val="single"/>
    </w:rPr>
  </w:style>
  <w:style w:type="paragraph" w:styleId="Lijstalinea">
    <w:name w:val="List Paragraph"/>
    <w:basedOn w:val="Standaard"/>
    <w:uiPriority w:val="34"/>
    <w:qFormat/>
    <w:rsid w:val="0097276D"/>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6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MEMO-14-537_en.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uropa.eu/rapid/press-release_IP-14-1038_en.htm" TargetMode="External"/><Relationship Id="rId12" Type="http://schemas.openxmlformats.org/officeDocument/2006/relationships/hyperlink" Target="http://www.linkedin.com/company/confederation-fiscal-europeene?trk=company_n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opa.eu/rapid/press-release_IP-14-663_en.htm?locale=en" TargetMode="External"/><Relationship Id="rId11" Type="http://schemas.openxmlformats.org/officeDocument/2006/relationships/hyperlink" Target="http://www.cfe-eutax.org" TargetMode="External"/><Relationship Id="rId5" Type="http://schemas.openxmlformats.org/officeDocument/2006/relationships/webSettings" Target="webSettings.xml"/><Relationship Id="rId10" Type="http://schemas.openxmlformats.org/officeDocument/2006/relationships/hyperlink" Target="http://europa.eu/rapid/press-release_IP-14-1040_en.htm" TargetMode="External"/><Relationship Id="rId4" Type="http://schemas.openxmlformats.org/officeDocument/2006/relationships/settings" Target="settings.xml"/><Relationship Id="rId9" Type="http://schemas.openxmlformats.org/officeDocument/2006/relationships/hyperlink" Target="http://curia.europa.eu/juris/document/document.jsf?text=&amp;docid=157806&amp;pageIndex=0&amp;doclang=EN&amp;mode=lst&amp;dir=&amp;occ=first&amp;part=1&amp;cid=53149"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80D5A795</Template>
  <TotalTime>0</TotalTime>
  <Pages>2</Pages>
  <Words>782</Words>
  <Characters>4304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2014-10-02T13:50:00Z</dcterms:created>
  <dcterms:modified xsi:type="dcterms:W3CDTF">2014-10-02T13:50:00Z</dcterms:modified>
</cp:coreProperties>
</file>