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8F" w:rsidRDefault="00FC388F" w:rsidP="00FC388F">
      <w:bookmarkStart w:id="0" w:name="_GoBack"/>
      <w:bookmarkEnd w:id="0"/>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FC388F" w:rsidRPr="00FC388F" w:rsidTr="00FC388F">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426"/>
              <w:gridCol w:w="46"/>
            </w:tblGrid>
            <w:tr w:rsidR="00FC388F">
              <w:trPr>
                <w:tblCellSpacing w:w="0" w:type="dxa"/>
              </w:trPr>
              <w:tc>
                <w:tcPr>
                  <w:tcW w:w="8205" w:type="dxa"/>
                  <w:vAlign w:val="center"/>
                  <w:hideMark/>
                </w:tcPr>
                <w:p w:rsidR="00FC388F" w:rsidRDefault="00FC388F">
                  <w:pPr>
                    <w:spacing w:line="276" w:lineRule="auto"/>
                    <w:jc w:val="both"/>
                  </w:pPr>
                  <w:r>
                    <w:rPr>
                      <w:noProof/>
                    </w:rPr>
                    <w:drawing>
                      <wp:inline distT="0" distB="0" distL="0" distR="0">
                        <wp:extent cx="5762625" cy="666750"/>
                        <wp:effectExtent l="0" t="0" r="9525" b="0"/>
                        <wp:docPr id="3" name="Afbeelding 3" descr="C:\Users\SandraS\AppData\Local\Microsoft\Windows\Temporary Internet Files\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ndraS\AppData\Local\Microsoft\Windows\Temporary Internet Files\Content.Word\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hideMark/>
                </w:tcPr>
                <w:p w:rsidR="00FC388F" w:rsidRDefault="00FC388F">
                  <w:pPr>
                    <w:spacing w:line="276" w:lineRule="auto"/>
                    <w:jc w:val="both"/>
                  </w:pPr>
                  <w:r>
                    <w:rPr>
                      <w:rFonts w:ascii="Calibri" w:hAnsi="Calibri"/>
                      <w:color w:val="ACABAB"/>
                      <w:sz w:val="22"/>
                      <w:szCs w:val="22"/>
                      <w:lang w:eastAsia="en-US"/>
                    </w:rPr>
                    <w:t> </w:t>
                  </w:r>
                </w:p>
                <w:p w:rsidR="00FC388F" w:rsidRDefault="00FC388F">
                  <w:pPr>
                    <w:spacing w:line="276" w:lineRule="auto"/>
                    <w:jc w:val="both"/>
                  </w:pPr>
                  <w:r>
                    <w:rPr>
                      <w:rFonts w:ascii="Calibri" w:hAnsi="Calibri"/>
                      <w:color w:val="ACABAB"/>
                      <w:sz w:val="22"/>
                      <w:szCs w:val="22"/>
                      <w:lang w:eastAsia="en-US"/>
                    </w:rPr>
                    <w:t> </w:t>
                  </w:r>
                </w:p>
              </w:tc>
            </w:tr>
          </w:tbl>
          <w:p w:rsidR="00FC388F" w:rsidRDefault="00FC388F">
            <w:pPr>
              <w:spacing w:line="276" w:lineRule="auto"/>
              <w:jc w:val="both"/>
            </w:pPr>
            <w:proofErr w:type="spellStart"/>
            <w:r>
              <w:rPr>
                <w:rFonts w:ascii="Calibri" w:hAnsi="Calibri"/>
                <w:b/>
                <w:bCs/>
                <w:sz w:val="20"/>
                <w:szCs w:val="20"/>
                <w:lang w:eastAsia="en-US"/>
              </w:rPr>
              <w:t>Fiscal</w:t>
            </w:r>
            <w:proofErr w:type="spellEnd"/>
            <w:r>
              <w:rPr>
                <w:rFonts w:ascii="Calibri" w:hAnsi="Calibri"/>
                <w:b/>
                <w:bCs/>
                <w:sz w:val="20"/>
                <w:szCs w:val="20"/>
                <w:lang w:eastAsia="en-US"/>
              </w:rPr>
              <w:t xml:space="preserve"> </w:t>
            </w:r>
            <w:proofErr w:type="spellStart"/>
            <w:r>
              <w:rPr>
                <w:rFonts w:ascii="Calibri" w:hAnsi="Calibri"/>
                <w:b/>
                <w:bCs/>
                <w:sz w:val="20"/>
                <w:szCs w:val="20"/>
                <w:lang w:eastAsia="en-US"/>
              </w:rPr>
              <w:t>Committee</w:t>
            </w:r>
            <w:proofErr w:type="spellEnd"/>
          </w:p>
          <w:p w:rsidR="00FC388F" w:rsidRDefault="00FC388F">
            <w:pPr>
              <w:spacing w:line="276" w:lineRule="auto"/>
            </w:pPr>
            <w:r>
              <w:rPr>
                <w:rFonts w:ascii="Calibri" w:hAnsi="Calibri"/>
                <w:b/>
                <w:bCs/>
                <w:sz w:val="20"/>
                <w:szCs w:val="20"/>
                <w:lang w:eastAsia="en-US"/>
              </w:rPr>
              <w:t>                                                                                                                                                                            11 August 2014</w:t>
            </w:r>
          </w:p>
          <w:p w:rsidR="00FC388F" w:rsidRDefault="00FC388F">
            <w:pPr>
              <w:spacing w:line="276" w:lineRule="auto"/>
            </w:pPr>
            <w:r>
              <w:rPr>
                <w:rFonts w:ascii="Calibri" w:hAnsi="Calibri"/>
                <w:b/>
                <w:bCs/>
                <w:sz w:val="20"/>
                <w:szCs w:val="20"/>
                <w:lang w:eastAsia="en-US"/>
              </w:rPr>
              <w:t> </w:t>
            </w:r>
          </w:p>
          <w:p w:rsidR="00FC388F" w:rsidRDefault="00FC388F">
            <w:pPr>
              <w:spacing w:line="276" w:lineRule="auto"/>
            </w:pPr>
            <w:r>
              <w:rPr>
                <w:rFonts w:ascii="Calibri" w:hAnsi="Calibri"/>
                <w:b/>
                <w:bCs/>
                <w:sz w:val="20"/>
                <w:szCs w:val="20"/>
                <w:lang w:eastAsia="en-US"/>
              </w:rPr>
              <w:t> </w:t>
            </w:r>
          </w:p>
          <w:p w:rsidR="00FC388F" w:rsidRPr="00FC388F" w:rsidRDefault="00FC388F" w:rsidP="00CC2AFB">
            <w:pPr>
              <w:pStyle w:val="Lijstalinea"/>
              <w:numPr>
                <w:ilvl w:val="0"/>
                <w:numId w:val="1"/>
              </w:numPr>
              <w:spacing w:line="276" w:lineRule="auto"/>
              <w:ind w:left="567" w:hanging="283"/>
              <w:jc w:val="both"/>
              <w:rPr>
                <w:lang w:val="en-GB"/>
              </w:rPr>
            </w:pPr>
            <w:r>
              <w:rPr>
                <w:b/>
                <w:bCs/>
                <w:sz w:val="20"/>
                <w:szCs w:val="20"/>
                <w:lang w:val="en" w:eastAsia="en-US"/>
              </w:rPr>
              <w:t>Commission consults on the impact of IFRS in the EU</w:t>
            </w:r>
          </w:p>
          <w:p w:rsidR="00FC388F" w:rsidRPr="00FC388F" w:rsidRDefault="00FC388F">
            <w:pPr>
              <w:pStyle w:val="Lijstalinea"/>
              <w:spacing w:line="276" w:lineRule="auto"/>
              <w:ind w:left="1080"/>
              <w:jc w:val="both"/>
              <w:rPr>
                <w:lang w:val="en-GB"/>
              </w:rPr>
            </w:pPr>
            <w:r>
              <w:rPr>
                <w:b/>
                <w:bCs/>
                <w:sz w:val="20"/>
                <w:szCs w:val="20"/>
                <w:lang w:val="en" w:eastAsia="en-US"/>
              </w:rPr>
              <w:t> </w:t>
            </w:r>
          </w:p>
          <w:p w:rsidR="00FC388F" w:rsidRDefault="00FC388F">
            <w:pPr>
              <w:spacing w:line="276" w:lineRule="auto"/>
              <w:ind w:left="284" w:right="141"/>
              <w:jc w:val="both"/>
            </w:pPr>
            <w:r>
              <w:rPr>
                <w:rFonts w:ascii="Calibri" w:hAnsi="Calibri"/>
                <w:sz w:val="20"/>
                <w:szCs w:val="20"/>
                <w:lang w:val="en" w:eastAsia="en-US"/>
              </w:rPr>
              <w:t>On 7 August 2014, the European Commission opened a public consultation to ask for stakeholders´ experience of Regulation 1606/2002 (‘the IAS Regulation’) making the use of the IFRS (International Financial Reporting Standards) mandatory for listed companies in the EU. The consultation is open until 31 October 2014.</w:t>
            </w:r>
          </w:p>
          <w:p w:rsidR="00FC388F" w:rsidRDefault="00FC388F">
            <w:pPr>
              <w:spacing w:line="276" w:lineRule="auto"/>
              <w:ind w:left="284" w:right="141"/>
              <w:jc w:val="both"/>
            </w:pPr>
            <w:r>
              <w:rPr>
                <w:rFonts w:ascii="Calibri" w:hAnsi="Calibri"/>
                <w:sz w:val="20"/>
                <w:szCs w:val="20"/>
                <w:lang w:val="en" w:eastAsia="en-US"/>
              </w:rPr>
              <w:t> </w:t>
            </w:r>
          </w:p>
          <w:p w:rsidR="00FC388F" w:rsidRDefault="00FC388F" w:rsidP="00CC2AFB">
            <w:pPr>
              <w:pStyle w:val="Lijstalinea"/>
              <w:numPr>
                <w:ilvl w:val="0"/>
                <w:numId w:val="2"/>
              </w:numPr>
              <w:spacing w:line="276" w:lineRule="auto"/>
              <w:ind w:right="141"/>
              <w:jc w:val="both"/>
            </w:pPr>
            <w:hyperlink r:id="rId6" w:history="1">
              <w:r>
                <w:rPr>
                  <w:rStyle w:val="Hyperlink"/>
                  <w:sz w:val="20"/>
                  <w:szCs w:val="20"/>
                  <w:lang w:val="en" w:eastAsia="en-US"/>
                </w:rPr>
                <w:t>Consultation paper</w:t>
              </w:r>
            </w:hyperlink>
          </w:p>
          <w:p w:rsidR="00FC388F" w:rsidRDefault="00FC388F" w:rsidP="00CC2AFB">
            <w:pPr>
              <w:pStyle w:val="Lijstalinea"/>
              <w:numPr>
                <w:ilvl w:val="0"/>
                <w:numId w:val="2"/>
              </w:numPr>
              <w:spacing w:line="276" w:lineRule="auto"/>
            </w:pPr>
            <w:hyperlink r:id="rId7" w:history="1">
              <w:r>
                <w:rPr>
                  <w:rStyle w:val="Hyperlink"/>
                  <w:sz w:val="20"/>
                  <w:szCs w:val="20"/>
                  <w:lang w:val="en" w:eastAsia="en-US"/>
                </w:rPr>
                <w:t>Consultation website</w:t>
              </w:r>
            </w:hyperlink>
          </w:p>
          <w:p w:rsidR="00FC388F" w:rsidRDefault="00FC388F">
            <w:pPr>
              <w:shd w:val="clear" w:color="auto" w:fill="FEFEFE"/>
              <w:spacing w:line="276" w:lineRule="auto"/>
              <w:ind w:right="2925"/>
              <w:jc w:val="both"/>
            </w:pPr>
            <w:r>
              <w:rPr>
                <w:rFonts w:ascii="Calibri" w:hAnsi="Calibri"/>
                <w:b/>
                <w:bCs/>
                <w:color w:val="000000"/>
                <w:sz w:val="20"/>
                <w:szCs w:val="20"/>
                <w:lang w:val="en" w:eastAsia="fr-BE"/>
              </w:rPr>
              <w:t> </w:t>
            </w:r>
          </w:p>
          <w:p w:rsidR="00FC388F" w:rsidRDefault="00FC388F">
            <w:pPr>
              <w:shd w:val="clear" w:color="auto" w:fill="FEFEFE"/>
              <w:spacing w:line="276" w:lineRule="auto"/>
              <w:ind w:right="2925"/>
              <w:jc w:val="both"/>
            </w:pPr>
            <w:r>
              <w:rPr>
                <w:rFonts w:ascii="Calibri" w:hAnsi="Calibri"/>
                <w:b/>
                <w:bCs/>
                <w:color w:val="000000"/>
                <w:sz w:val="20"/>
                <w:szCs w:val="20"/>
                <w:lang w:val="en"/>
              </w:rPr>
              <w:t> </w:t>
            </w:r>
          </w:p>
          <w:p w:rsidR="00FC388F" w:rsidRPr="00FC388F" w:rsidRDefault="00FC388F" w:rsidP="00CC2AFB">
            <w:pPr>
              <w:pStyle w:val="Lijstalinea"/>
              <w:numPr>
                <w:ilvl w:val="0"/>
                <w:numId w:val="1"/>
              </w:numPr>
              <w:shd w:val="clear" w:color="auto" w:fill="FEFEFE"/>
              <w:spacing w:line="276" w:lineRule="auto"/>
              <w:ind w:left="567" w:hanging="283"/>
              <w:jc w:val="both"/>
              <w:rPr>
                <w:lang w:val="en-GB"/>
              </w:rPr>
            </w:pPr>
            <w:r>
              <w:rPr>
                <w:b/>
                <w:bCs/>
                <w:color w:val="000000"/>
                <w:sz w:val="20"/>
                <w:szCs w:val="20"/>
                <w:lang w:val="en"/>
              </w:rPr>
              <w:t xml:space="preserve">OECD consults on </w:t>
            </w:r>
            <w:proofErr w:type="spellStart"/>
            <w:r>
              <w:rPr>
                <w:b/>
                <w:bCs/>
                <w:color w:val="000000"/>
                <w:sz w:val="20"/>
                <w:szCs w:val="20"/>
                <w:lang w:val="en"/>
              </w:rPr>
              <w:t>analysing</w:t>
            </w:r>
            <w:proofErr w:type="spellEnd"/>
            <w:r>
              <w:rPr>
                <w:b/>
                <w:bCs/>
                <w:color w:val="000000"/>
                <w:sz w:val="20"/>
                <w:szCs w:val="20"/>
                <w:lang w:val="en"/>
              </w:rPr>
              <w:t xml:space="preserve"> BEPS and actions to address it</w:t>
            </w:r>
          </w:p>
          <w:p w:rsidR="00FC388F" w:rsidRPr="00FC388F" w:rsidRDefault="00FC388F">
            <w:pPr>
              <w:pStyle w:val="Lijstalinea"/>
              <w:shd w:val="clear" w:color="auto" w:fill="FEFEFE"/>
              <w:spacing w:line="276" w:lineRule="auto"/>
              <w:jc w:val="both"/>
              <w:rPr>
                <w:lang w:val="en-GB"/>
              </w:rPr>
            </w:pPr>
            <w:r>
              <w:rPr>
                <w:b/>
                <w:bCs/>
                <w:color w:val="000000"/>
                <w:sz w:val="20"/>
                <w:szCs w:val="20"/>
                <w:lang w:val="en"/>
              </w:rPr>
              <w:t> </w:t>
            </w:r>
          </w:p>
          <w:p w:rsidR="00FC388F" w:rsidRDefault="00FC388F">
            <w:pPr>
              <w:spacing w:line="276" w:lineRule="auto"/>
              <w:ind w:left="284"/>
              <w:jc w:val="both"/>
            </w:pPr>
            <w:r w:rsidRPr="00FC388F">
              <w:rPr>
                <w:rFonts w:ascii="Calibri" w:hAnsi="Calibri"/>
                <w:sz w:val="20"/>
                <w:szCs w:val="20"/>
                <w:lang w:val="en-GB"/>
              </w:rPr>
              <w:t xml:space="preserve">On 4 August 2014, the OECD asked for public input on methodologies to collect and analyse data on BEPS (base erosion and profit shifting) and the actions to address it (BEPS Action 11). </w:t>
            </w:r>
            <w:r w:rsidRPr="00FC388F">
              <w:rPr>
                <w:rFonts w:ascii="Calibri" w:hAnsi="Calibri"/>
                <w:sz w:val="20"/>
                <w:szCs w:val="20"/>
                <w:lang w:val="en-GB"/>
              </w:rPr>
              <w:br/>
              <w:t xml:space="preserve">This is to ensure that policy discussions regarding the scale and impact of BEPS are based on sound economic data and tools are available to monitor and evaluate the effectiveness and economic impact of the actions taken to address BEPS on an ongoing basis. Where data on tax payments is used, the OECD claims that taxpayer confidentiality must be respected and the administrative costs for tax administrations and businesses must be considered. </w:t>
            </w:r>
            <w:proofErr w:type="spellStart"/>
            <w:r>
              <w:rPr>
                <w:rFonts w:ascii="Calibri" w:hAnsi="Calibri"/>
                <w:sz w:val="20"/>
                <w:szCs w:val="20"/>
              </w:rPr>
              <w:t>Comments</w:t>
            </w:r>
            <w:proofErr w:type="spellEnd"/>
            <w:r>
              <w:rPr>
                <w:rFonts w:ascii="Calibri" w:hAnsi="Calibri"/>
                <w:sz w:val="20"/>
                <w:szCs w:val="20"/>
              </w:rPr>
              <w:t xml:space="preserve"> </w:t>
            </w:r>
            <w:proofErr w:type="spellStart"/>
            <w:r>
              <w:rPr>
                <w:rFonts w:ascii="Calibri" w:hAnsi="Calibri"/>
                <w:sz w:val="20"/>
                <w:szCs w:val="20"/>
              </w:rPr>
              <w:t>can</w:t>
            </w:r>
            <w:proofErr w:type="spellEnd"/>
            <w:r>
              <w:rPr>
                <w:rFonts w:ascii="Calibri" w:hAnsi="Calibri"/>
                <w:sz w:val="20"/>
                <w:szCs w:val="20"/>
              </w:rPr>
              <w:t xml:space="preserve"> </w:t>
            </w:r>
            <w:proofErr w:type="spellStart"/>
            <w:r>
              <w:rPr>
                <w:rFonts w:ascii="Calibri" w:hAnsi="Calibri"/>
                <w:sz w:val="20"/>
                <w:szCs w:val="20"/>
              </w:rPr>
              <w:t>be</w:t>
            </w:r>
            <w:proofErr w:type="spellEnd"/>
            <w:r>
              <w:rPr>
                <w:rFonts w:ascii="Calibri" w:hAnsi="Calibri"/>
                <w:sz w:val="20"/>
                <w:szCs w:val="20"/>
              </w:rPr>
              <w:t xml:space="preserve"> </w:t>
            </w:r>
            <w:proofErr w:type="spellStart"/>
            <w:r>
              <w:rPr>
                <w:rFonts w:ascii="Calibri" w:hAnsi="Calibri"/>
                <w:sz w:val="20"/>
                <w:szCs w:val="20"/>
              </w:rPr>
              <w:t>submitted</w:t>
            </w:r>
            <w:proofErr w:type="spellEnd"/>
            <w:r>
              <w:rPr>
                <w:rFonts w:ascii="Calibri" w:hAnsi="Calibri"/>
                <w:sz w:val="20"/>
                <w:szCs w:val="20"/>
              </w:rPr>
              <w:t xml:space="preserve"> </w:t>
            </w:r>
            <w:proofErr w:type="spellStart"/>
            <w:r>
              <w:rPr>
                <w:rFonts w:ascii="Calibri" w:hAnsi="Calibri"/>
                <w:sz w:val="20"/>
                <w:szCs w:val="20"/>
              </w:rPr>
              <w:t>by</w:t>
            </w:r>
            <w:proofErr w:type="spellEnd"/>
            <w:r>
              <w:rPr>
                <w:rFonts w:ascii="Calibri" w:hAnsi="Calibri"/>
                <w:sz w:val="20"/>
                <w:szCs w:val="20"/>
              </w:rPr>
              <w:t xml:space="preserve"> 19 September 2014, 17:00 CET.</w:t>
            </w:r>
          </w:p>
          <w:p w:rsidR="00FC388F" w:rsidRDefault="00FC388F">
            <w:pPr>
              <w:shd w:val="clear" w:color="auto" w:fill="FEFEFE"/>
              <w:spacing w:line="276" w:lineRule="auto"/>
              <w:ind w:right="2925"/>
              <w:jc w:val="both"/>
            </w:pPr>
            <w:r>
              <w:rPr>
                <w:rFonts w:ascii="Calibri" w:hAnsi="Calibri"/>
                <w:color w:val="000000"/>
                <w:sz w:val="20"/>
                <w:szCs w:val="20"/>
              </w:rPr>
              <w:t> </w:t>
            </w:r>
          </w:p>
          <w:p w:rsidR="00FC388F" w:rsidRDefault="00FC388F" w:rsidP="00CC2AFB">
            <w:pPr>
              <w:pStyle w:val="Lijstalinea"/>
              <w:numPr>
                <w:ilvl w:val="0"/>
                <w:numId w:val="3"/>
              </w:numPr>
              <w:shd w:val="clear" w:color="auto" w:fill="FEFEFE"/>
              <w:spacing w:line="276" w:lineRule="auto"/>
              <w:ind w:right="2925"/>
              <w:jc w:val="both"/>
            </w:pPr>
            <w:hyperlink r:id="rId8" w:history="1">
              <w:r>
                <w:rPr>
                  <w:rStyle w:val="Hyperlink"/>
                  <w:sz w:val="20"/>
                  <w:szCs w:val="20"/>
                  <w:lang w:val="en"/>
                </w:rPr>
                <w:t>OECD request for input</w:t>
              </w:r>
            </w:hyperlink>
          </w:p>
          <w:p w:rsidR="00FC388F" w:rsidRDefault="00FC388F" w:rsidP="00CC2AFB">
            <w:pPr>
              <w:pStyle w:val="Lijstalinea"/>
              <w:numPr>
                <w:ilvl w:val="0"/>
                <w:numId w:val="3"/>
              </w:numPr>
              <w:shd w:val="clear" w:color="auto" w:fill="FEFEFE"/>
              <w:spacing w:line="276" w:lineRule="auto"/>
              <w:ind w:right="2925"/>
              <w:jc w:val="both"/>
            </w:pPr>
            <w:hyperlink r:id="rId9" w:history="1">
              <w:r>
                <w:rPr>
                  <w:rStyle w:val="Hyperlink"/>
                  <w:sz w:val="20"/>
                  <w:szCs w:val="20"/>
                  <w:lang w:val="en"/>
                </w:rPr>
                <w:t>OECD press release</w:t>
              </w:r>
            </w:hyperlink>
          </w:p>
          <w:p w:rsidR="00FC388F" w:rsidRDefault="00FC388F">
            <w:pPr>
              <w:pStyle w:val="Lijstalinea"/>
              <w:spacing w:line="276" w:lineRule="auto"/>
              <w:ind w:left="0"/>
              <w:jc w:val="both"/>
            </w:pPr>
            <w:r>
              <w:rPr>
                <w:lang w:eastAsia="en-US"/>
              </w:rPr>
              <w:t> </w:t>
            </w:r>
          </w:p>
          <w:p w:rsidR="00FC388F" w:rsidRDefault="00FC388F">
            <w:pPr>
              <w:spacing w:line="276" w:lineRule="auto"/>
              <w:jc w:val="center"/>
            </w:pPr>
            <w:r>
              <w:rPr>
                <w:rFonts w:ascii="Calibri" w:hAnsi="Calibri"/>
                <w:sz w:val="20"/>
                <w:szCs w:val="20"/>
                <w:lang w:eastAsia="en-US"/>
              </w:rPr>
              <w:t>*****</w:t>
            </w:r>
          </w:p>
          <w:p w:rsidR="00FC388F" w:rsidRDefault="00FC388F">
            <w:pPr>
              <w:spacing w:line="276" w:lineRule="auto"/>
              <w:jc w:val="both"/>
            </w:pPr>
            <w:r>
              <w:rPr>
                <w:rFonts w:ascii="Calibri" w:hAnsi="Calibri"/>
                <w:sz w:val="20"/>
                <w:szCs w:val="20"/>
                <w:lang w:eastAsia="en-US"/>
              </w:rPr>
              <w:t> </w:t>
            </w:r>
          </w:p>
          <w:p w:rsidR="00FC388F" w:rsidRPr="00FC388F" w:rsidRDefault="00FC388F">
            <w:pPr>
              <w:pStyle w:val="Lijstalinea"/>
              <w:spacing w:line="276" w:lineRule="auto"/>
              <w:ind w:left="126"/>
              <w:jc w:val="center"/>
              <w:rPr>
                <w:lang w:val="en-GB"/>
              </w:rPr>
            </w:pPr>
            <w:r w:rsidRPr="00FC388F">
              <w:rPr>
                <w:i/>
                <w:iCs/>
                <w:sz w:val="20"/>
                <w:szCs w:val="20"/>
                <w:lang w:val="en-GB" w:eastAsia="en-US"/>
              </w:rPr>
              <w:t xml:space="preserve">The selection of the remitted material has been prepared by </w:t>
            </w:r>
            <w:proofErr w:type="spellStart"/>
            <w:r w:rsidRPr="00FC388F">
              <w:rPr>
                <w:i/>
                <w:iCs/>
                <w:sz w:val="20"/>
                <w:szCs w:val="20"/>
                <w:lang w:val="en-GB" w:eastAsia="en-US"/>
              </w:rPr>
              <w:t>Piergiorgio</w:t>
            </w:r>
            <w:proofErr w:type="spellEnd"/>
            <w:r w:rsidRPr="00FC388F">
              <w:rPr>
                <w:i/>
                <w:iCs/>
                <w:sz w:val="20"/>
                <w:szCs w:val="20"/>
                <w:lang w:val="en-GB" w:eastAsia="en-US"/>
              </w:rPr>
              <w:t xml:space="preserve"> Valente / </w:t>
            </w:r>
            <w:proofErr w:type="spellStart"/>
            <w:r w:rsidRPr="00FC388F">
              <w:rPr>
                <w:i/>
                <w:iCs/>
                <w:sz w:val="20"/>
                <w:szCs w:val="20"/>
                <w:lang w:val="en-GB" w:eastAsia="en-US"/>
              </w:rPr>
              <w:t>Filipa</w:t>
            </w:r>
            <w:proofErr w:type="spellEnd"/>
            <w:r w:rsidRPr="00FC388F">
              <w:rPr>
                <w:i/>
                <w:iCs/>
                <w:sz w:val="20"/>
                <w:szCs w:val="20"/>
                <w:lang w:val="en-GB" w:eastAsia="en-US"/>
              </w:rPr>
              <w:t xml:space="preserve"> </w:t>
            </w:r>
            <w:proofErr w:type="spellStart"/>
            <w:r w:rsidRPr="00FC388F">
              <w:rPr>
                <w:i/>
                <w:iCs/>
                <w:sz w:val="20"/>
                <w:szCs w:val="20"/>
                <w:lang w:val="en-GB" w:eastAsia="en-US"/>
              </w:rPr>
              <w:t>Correia</w:t>
            </w:r>
            <w:proofErr w:type="spellEnd"/>
            <w:r w:rsidRPr="00FC388F">
              <w:rPr>
                <w:i/>
                <w:iCs/>
                <w:sz w:val="20"/>
                <w:szCs w:val="20"/>
                <w:lang w:val="en-GB" w:eastAsia="en-US"/>
              </w:rPr>
              <w:t xml:space="preserve"> / Rudolf </w:t>
            </w:r>
            <w:proofErr w:type="spellStart"/>
            <w:r w:rsidRPr="00FC388F">
              <w:rPr>
                <w:i/>
                <w:iCs/>
                <w:sz w:val="20"/>
                <w:szCs w:val="20"/>
                <w:lang w:val="en-GB" w:eastAsia="en-US"/>
              </w:rPr>
              <w:t>Reibel</w:t>
            </w:r>
            <w:proofErr w:type="spellEnd"/>
          </w:p>
          <w:p w:rsidR="00FC388F" w:rsidRPr="00FC388F" w:rsidRDefault="00FC388F">
            <w:pPr>
              <w:pStyle w:val="Lijstalinea"/>
              <w:spacing w:line="276" w:lineRule="auto"/>
              <w:ind w:left="126"/>
              <w:jc w:val="center"/>
              <w:rPr>
                <w:lang w:val="en-GB"/>
              </w:rPr>
            </w:pPr>
            <w:r w:rsidRPr="00FC388F">
              <w:rPr>
                <w:i/>
                <w:iCs/>
                <w:sz w:val="20"/>
                <w:szCs w:val="20"/>
                <w:lang w:val="en-GB" w:eastAsia="en-US"/>
              </w:rPr>
              <w:t> </w:t>
            </w:r>
          </w:p>
          <w:p w:rsidR="00FC388F" w:rsidRPr="00FC388F" w:rsidRDefault="00FC388F">
            <w:pPr>
              <w:pStyle w:val="Lijstalinea"/>
              <w:spacing w:line="276" w:lineRule="auto"/>
              <w:ind w:left="126"/>
              <w:jc w:val="center"/>
              <w:rPr>
                <w:lang w:val="en-GB"/>
              </w:rPr>
            </w:pPr>
            <w:hyperlink r:id="rId10" w:history="1">
              <w:r w:rsidRPr="00FC388F">
                <w:rPr>
                  <w:rStyle w:val="Hyperlink"/>
                  <w:i/>
                  <w:iCs/>
                  <w:sz w:val="20"/>
                  <w:szCs w:val="20"/>
                  <w:lang w:val="en-GB"/>
                </w:rPr>
                <w:t>www.cfe-eutax.org</w:t>
              </w:r>
            </w:hyperlink>
          </w:p>
          <w:p w:rsidR="00FC388F" w:rsidRPr="00FC388F" w:rsidRDefault="00FC388F">
            <w:pPr>
              <w:pStyle w:val="Lijstalinea"/>
              <w:spacing w:line="276" w:lineRule="auto"/>
              <w:ind w:left="126"/>
              <w:jc w:val="center"/>
              <w:rPr>
                <w:lang w:val="en-GB"/>
              </w:rPr>
            </w:pPr>
            <w:r w:rsidRPr="00FC388F">
              <w:rPr>
                <w:rStyle w:val="Hyperlink"/>
                <w:i/>
                <w:iCs/>
                <w:sz w:val="20"/>
                <w:szCs w:val="20"/>
                <w:u w:val="none"/>
                <w:lang w:val="en-GB"/>
              </w:rPr>
              <w:t> </w:t>
            </w:r>
          </w:p>
          <w:p w:rsidR="00FC388F" w:rsidRPr="00FC388F" w:rsidRDefault="00FC388F">
            <w:pPr>
              <w:pStyle w:val="Lijstalinea"/>
              <w:spacing w:line="276" w:lineRule="auto"/>
              <w:ind w:left="126"/>
              <w:jc w:val="center"/>
              <w:rPr>
                <w:lang w:val="en-GB"/>
              </w:rPr>
            </w:pPr>
            <w:r>
              <w:rPr>
                <w:i/>
                <w:iCs/>
                <w:sz w:val="20"/>
                <w:szCs w:val="20"/>
                <w:lang w:val="en-US"/>
              </w:rPr>
              <w:t xml:space="preserve">Follow us on </w:t>
            </w:r>
            <w:hyperlink r:id="rId11" w:history="1">
              <w:r>
                <w:rPr>
                  <w:rStyle w:val="Hyperlink"/>
                  <w:sz w:val="20"/>
                  <w:szCs w:val="20"/>
                  <w:lang w:val="en-US"/>
                </w:rPr>
                <w:t>Linked in</w:t>
              </w:r>
            </w:hyperlink>
            <w:r w:rsidRPr="00FC388F">
              <w:rPr>
                <w:sz w:val="20"/>
                <w:szCs w:val="20"/>
                <w:lang w:val="en-GB"/>
              </w:rPr>
              <w:t xml:space="preserve"> </w:t>
            </w:r>
            <w:r>
              <w:rPr>
                <w:noProof/>
                <w:sz w:val="20"/>
                <w:szCs w:val="20"/>
              </w:rPr>
              <mc:AlternateContent>
                <mc:Choice Requires="wps">
                  <w:drawing>
                    <wp:inline distT="0" distB="0" distL="0" distR="0">
                      <wp:extent cx="200025" cy="190500"/>
                      <wp:effectExtent l="0" t="0" r="0" b="0"/>
                      <wp:docPr id="1" name="Rechthoek 1" descr="cid:image004.png@01CFAA5C.15EA1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FF7A7" id="Rechthoek 1" o:spid="_x0000_s1026" alt="cid:image004.png@01CFAA5C.15EA1810" style="width:1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" filled="f" stroked="f">
                      <o:lock v:ext="edit" aspectratio="t"/>
                      <w10:anchorlock/>
                    </v:rect>
                  </w:pict>
                </mc:Fallback>
              </mc:AlternateContent>
            </w:r>
            <w:r>
              <w:rPr>
                <w:i/>
                <w:iCs/>
                <w:sz w:val="20"/>
                <w:szCs w:val="20"/>
                <w:lang w:val="en-US"/>
              </w:rPr>
              <w:t>  </w:t>
            </w:r>
          </w:p>
        </w:tc>
      </w:tr>
      <w:tr w:rsidR="00FC388F" w:rsidRPr="00FC388F" w:rsidTr="00FC388F">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50"/>
            </w:tblGrid>
            <w:tr w:rsidR="00FC388F" w:rsidRPr="00FC388F">
              <w:trPr>
                <w:tblCellSpacing w:w="0" w:type="dxa"/>
              </w:trPr>
              <w:tc>
                <w:tcPr>
                  <w:tcW w:w="0" w:type="auto"/>
                  <w:vAlign w:val="center"/>
                  <w:hideMark/>
                </w:tcPr>
                <w:p w:rsidR="00FC388F" w:rsidRPr="00FC388F" w:rsidRDefault="00FC388F">
                  <w:pPr>
                    <w:spacing w:line="276" w:lineRule="auto"/>
                    <w:rPr>
                      <w:lang w:val="en-GB"/>
                    </w:rPr>
                  </w:pPr>
                  <w:r w:rsidRPr="00FC388F">
                    <w:rPr>
                      <w:rFonts w:ascii="Calibri" w:hAnsi="Calibri"/>
                      <w:sz w:val="22"/>
                      <w:szCs w:val="22"/>
                      <w:lang w:val="en-GB" w:eastAsia="en-US"/>
                    </w:rPr>
                    <w:t> </w:t>
                  </w:r>
                </w:p>
              </w:tc>
            </w:tr>
          </w:tbl>
          <w:p w:rsidR="00FC388F" w:rsidRPr="00FC388F" w:rsidRDefault="00FC388F">
            <w:pPr>
              <w:rPr>
                <w:rFonts w:eastAsia="Times New Roman"/>
                <w:sz w:val="20"/>
                <w:szCs w:val="20"/>
                <w:lang w:val="en-GB"/>
              </w:rPr>
            </w:pPr>
          </w:p>
        </w:tc>
      </w:tr>
    </w:tbl>
    <w:p w:rsidR="00205106" w:rsidRPr="00FC388F" w:rsidRDefault="00FC388F">
      <w:pPr>
        <w:rPr>
          <w:lang w:val="en-GB"/>
        </w:rPr>
      </w:pPr>
      <w:r w:rsidRPr="00FC388F">
        <w:rPr>
          <w:lang w:val="en-GB"/>
        </w:rPr>
        <w:t> </w:t>
      </w:r>
    </w:p>
    <w:sectPr w:rsidR="00205106" w:rsidRPr="00FC3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B78CB"/>
    <w:multiLevelType w:val="hybridMultilevel"/>
    <w:tmpl w:val="07B4CA16"/>
    <w:lvl w:ilvl="0" w:tplc="46941BE8">
      <w:start w:val="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69E0E4D"/>
    <w:multiLevelType w:val="hybridMultilevel"/>
    <w:tmpl w:val="315C213C"/>
    <w:lvl w:ilvl="0" w:tplc="81DEBF3E">
      <w:start w:val="5"/>
      <w:numFmt w:val="bullet"/>
      <w:lvlText w:val="-"/>
      <w:lvlJc w:val="left"/>
      <w:pPr>
        <w:ind w:left="644" w:hanging="360"/>
      </w:pPr>
      <w:rPr>
        <w:rFonts w:ascii="Calibri" w:eastAsia="Calibri" w:hAnsi="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
    <w:nsid w:val="36B46297"/>
    <w:multiLevelType w:val="hybridMultilevel"/>
    <w:tmpl w:val="460247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8F"/>
    <w:rsid w:val="00205106"/>
    <w:rsid w:val="003B7674"/>
    <w:rsid w:val="00B21468"/>
    <w:rsid w:val="00FC3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BE0F-8108-43BE-83FD-F952D686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388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388F"/>
    <w:rPr>
      <w:color w:val="0000FF"/>
      <w:u w:val="single"/>
    </w:rPr>
  </w:style>
  <w:style w:type="paragraph" w:styleId="Lijstalinea">
    <w:name w:val="List Paragraph"/>
    <w:basedOn w:val="Standaard"/>
    <w:uiPriority w:val="34"/>
    <w:qFormat/>
    <w:rsid w:val="00FC388F"/>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ctp/public-request-for-input-beps-action-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internal_market/consultations/2014/ifrs/index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internal_market/consultations/2014/ifrs/docs/consultation-document_en.pdf" TargetMode="External"/><Relationship Id="rId11" Type="http://schemas.openxmlformats.org/officeDocument/2006/relationships/hyperlink" Target="http://www.linkedin.com/company/confederation-fiscal-europeene?trk=company_name" TargetMode="External"/><Relationship Id="rId5" Type="http://schemas.openxmlformats.org/officeDocument/2006/relationships/image" Target="media/image1.jpeg"/><Relationship Id="rId10" Type="http://schemas.openxmlformats.org/officeDocument/2006/relationships/hyperlink" Target="http://www.cfe-eutax.org" TargetMode="External"/><Relationship Id="rId4" Type="http://schemas.openxmlformats.org/officeDocument/2006/relationships/webSettings" Target="webSettings.xml"/><Relationship Id="rId9" Type="http://schemas.openxmlformats.org/officeDocument/2006/relationships/hyperlink" Target="http://www.oecd.org/tax/oecd-releases-public-request-for-input-on-beps-action-11.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323CF49C.dotm</Template>
  <TotalTime>1</TotalTime>
  <Pages>1</Pages>
  <Words>327</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2014-08-11T11:35:00Z</dcterms:created>
  <dcterms:modified xsi:type="dcterms:W3CDTF">2014-08-11T11:36:00Z</dcterms:modified>
</cp:coreProperties>
</file>