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5A" w:rsidRDefault="00D0595A" w:rsidP="00D0595A"/>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D0595A" w:rsidRPr="00D0595A" w:rsidTr="00D0595A">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164"/>
              <w:gridCol w:w="50"/>
            </w:tblGrid>
            <w:tr w:rsidR="00D0595A">
              <w:trPr>
                <w:tblCellSpacing w:w="0" w:type="dxa"/>
              </w:trPr>
              <w:tc>
                <w:tcPr>
                  <w:tcW w:w="8205" w:type="dxa"/>
                  <w:vAlign w:val="center"/>
                  <w:hideMark/>
                </w:tcPr>
                <w:p w:rsidR="00D0595A" w:rsidRDefault="00D0595A">
                  <w:pPr>
                    <w:spacing w:line="276" w:lineRule="auto"/>
                    <w:jc w:val="both"/>
                  </w:pPr>
                </w:p>
              </w:tc>
              <w:tc>
                <w:tcPr>
                  <w:tcW w:w="0" w:type="auto"/>
                  <w:vAlign w:val="center"/>
                  <w:hideMark/>
                </w:tcPr>
                <w:p w:rsidR="00D0595A" w:rsidRDefault="00D0595A">
                  <w:pPr>
                    <w:spacing w:line="276" w:lineRule="auto"/>
                    <w:jc w:val="both"/>
                  </w:pPr>
                  <w:r>
                    <w:rPr>
                      <w:rFonts w:ascii="Calibri" w:hAnsi="Calibri"/>
                      <w:color w:val="ACABAB"/>
                      <w:sz w:val="22"/>
                      <w:szCs w:val="22"/>
                      <w:lang w:val="en-GB" w:eastAsia="en-US"/>
                    </w:rPr>
                    <w:t> </w:t>
                  </w:r>
                </w:p>
                <w:p w:rsidR="00D0595A" w:rsidRDefault="00D0595A">
                  <w:pPr>
                    <w:spacing w:line="276" w:lineRule="auto"/>
                    <w:jc w:val="both"/>
                  </w:pPr>
                  <w:r>
                    <w:rPr>
                      <w:rFonts w:ascii="Calibri" w:hAnsi="Calibri"/>
                      <w:color w:val="ACABAB"/>
                      <w:sz w:val="22"/>
                      <w:szCs w:val="22"/>
                      <w:lang w:val="en-GB" w:eastAsia="en-US"/>
                    </w:rPr>
                    <w:t> </w:t>
                  </w:r>
                </w:p>
              </w:tc>
            </w:tr>
          </w:tbl>
          <w:p w:rsidR="00D0595A" w:rsidRDefault="00D0595A" w:rsidP="00D0595A">
            <w:pPr>
              <w:spacing w:line="276" w:lineRule="auto"/>
              <w:jc w:val="both"/>
            </w:pPr>
            <w:r>
              <w:rPr>
                <w:rFonts w:ascii="Calibri" w:hAnsi="Calibri"/>
                <w:b/>
                <w:bCs/>
                <w:noProof/>
                <w:sz w:val="20"/>
                <w:szCs w:val="20"/>
              </w:rPr>
              <w:drawing>
                <wp:anchor distT="0" distB="0" distL="114300" distR="114300" simplePos="0" relativeHeight="251658240" behindDoc="0" locked="0" layoutInCell="1" allowOverlap="1" wp14:anchorId="4EB0ACA9" wp14:editId="6ADCA543">
                  <wp:simplePos x="0" y="0"/>
                  <wp:positionH relativeFrom="column">
                    <wp:posOffset>-47625</wp:posOffset>
                  </wp:positionH>
                  <wp:positionV relativeFrom="paragraph">
                    <wp:posOffset>-1363345</wp:posOffset>
                  </wp:positionV>
                  <wp:extent cx="5762625" cy="666750"/>
                  <wp:effectExtent l="0" t="0" r="9525" b="0"/>
                  <wp:wrapThrough wrapText="bothSides">
                    <wp:wrapPolygon edited="0">
                      <wp:start x="0" y="0"/>
                      <wp:lineTo x="0" y="20983"/>
                      <wp:lineTo x="21564" y="20983"/>
                      <wp:lineTo x="21564" y="0"/>
                      <wp:lineTo x="0" y="0"/>
                    </wp:wrapPolygon>
                  </wp:wrapThrough>
                  <wp:docPr id="3" name="Afbeelding 3" descr="C:\Users\SandraS\AppData\Local\Microsoft\Windows\Temporary Internet Files\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draS\AppData\Local\Microsoft\Windows\Temporary Internet Files\Content.Word\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0"/>
                <w:szCs w:val="20"/>
                <w:lang w:val="en-GB" w:eastAsia="en-US"/>
              </w:rPr>
              <w:t>Fiscal Committee</w:t>
            </w:r>
          </w:p>
          <w:p w:rsidR="00D0595A" w:rsidRDefault="00D0595A" w:rsidP="00D0595A">
            <w:pPr>
              <w:spacing w:line="276" w:lineRule="auto"/>
              <w:jc w:val="both"/>
            </w:pPr>
            <w:r>
              <w:rPr>
                <w:rFonts w:ascii="Calibri" w:hAnsi="Calibri"/>
                <w:b/>
                <w:bCs/>
                <w:sz w:val="20"/>
                <w:szCs w:val="20"/>
                <w:lang w:val="en-GB" w:eastAsia="en-US"/>
              </w:rPr>
              <w:t>                                                                                                                   </w:t>
            </w:r>
            <w:r>
              <w:rPr>
                <w:rFonts w:ascii="Calibri" w:hAnsi="Calibri"/>
                <w:b/>
                <w:bCs/>
                <w:sz w:val="20"/>
                <w:szCs w:val="20"/>
                <w:lang w:val="en-GB" w:eastAsia="en-US"/>
              </w:rPr>
              <w:t xml:space="preserve">   </w:t>
            </w:r>
            <w:r>
              <w:rPr>
                <w:rFonts w:ascii="Calibri" w:hAnsi="Calibri"/>
                <w:b/>
                <w:bCs/>
                <w:sz w:val="20"/>
                <w:szCs w:val="20"/>
                <w:lang w:val="en-GB" w:eastAsia="en-US"/>
              </w:rPr>
              <w:t>                                     04 August 2014</w:t>
            </w:r>
          </w:p>
          <w:p w:rsidR="00D0595A" w:rsidRDefault="00D0595A">
            <w:pPr>
              <w:spacing w:line="276" w:lineRule="auto"/>
              <w:jc w:val="both"/>
            </w:pPr>
            <w:r>
              <w:rPr>
                <w:rFonts w:ascii="Calibri" w:hAnsi="Calibri"/>
                <w:b/>
                <w:bCs/>
                <w:sz w:val="20"/>
                <w:szCs w:val="20"/>
                <w:lang w:val="en-GB" w:eastAsia="en-US"/>
              </w:rPr>
              <w:t> </w:t>
            </w:r>
            <w:bookmarkStart w:id="0" w:name="_GoBack"/>
            <w:bookmarkEnd w:id="0"/>
            <w:r>
              <w:rPr>
                <w:rFonts w:ascii="Calibri" w:hAnsi="Calibri"/>
                <w:b/>
                <w:bCs/>
                <w:sz w:val="20"/>
                <w:szCs w:val="20"/>
                <w:lang w:val="en-GB" w:eastAsia="en-US"/>
              </w:rPr>
              <w:t> </w:t>
            </w:r>
          </w:p>
          <w:p w:rsidR="00D0595A" w:rsidRPr="00D0595A" w:rsidRDefault="00D0595A" w:rsidP="007F6816">
            <w:pPr>
              <w:numPr>
                <w:ilvl w:val="0"/>
                <w:numId w:val="1"/>
              </w:numPr>
              <w:spacing w:line="276" w:lineRule="auto"/>
              <w:ind w:right="141"/>
              <w:jc w:val="both"/>
              <w:rPr>
                <w:rFonts w:eastAsia="Times New Roman"/>
                <w:lang w:val="en-GB"/>
              </w:rPr>
            </w:pPr>
            <w:r>
              <w:rPr>
                <w:rFonts w:ascii="Calibri" w:eastAsia="Times New Roman" w:hAnsi="Calibri"/>
                <w:b/>
                <w:bCs/>
                <w:sz w:val="20"/>
                <w:szCs w:val="20"/>
                <w:lang w:val="en" w:eastAsia="en-US"/>
              </w:rPr>
              <w:t>ECJ rules on treatment of losses of a PE in another member state which is transferred to a             non-resident group company</w:t>
            </w:r>
          </w:p>
          <w:p w:rsidR="00D0595A" w:rsidRPr="00D0595A" w:rsidRDefault="00D0595A">
            <w:pPr>
              <w:spacing w:line="276" w:lineRule="auto"/>
              <w:jc w:val="both"/>
              <w:rPr>
                <w:lang w:val="en-GB"/>
              </w:rPr>
            </w:pPr>
            <w:r>
              <w:rPr>
                <w:rFonts w:ascii="Calibri" w:hAnsi="Calibri"/>
                <w:b/>
                <w:bCs/>
                <w:sz w:val="20"/>
                <w:szCs w:val="20"/>
                <w:lang w:val="en" w:eastAsia="en-US"/>
              </w:rPr>
              <w:t> </w:t>
            </w:r>
          </w:p>
          <w:p w:rsidR="00D0595A" w:rsidRPr="00D0595A" w:rsidRDefault="00D0595A">
            <w:pPr>
              <w:spacing w:line="276" w:lineRule="auto"/>
              <w:ind w:left="284"/>
              <w:jc w:val="both"/>
              <w:rPr>
                <w:lang w:val="en-GB"/>
              </w:rPr>
            </w:pPr>
            <w:r>
              <w:rPr>
                <w:rFonts w:ascii="Calibri" w:hAnsi="Calibri"/>
                <w:sz w:val="20"/>
                <w:szCs w:val="20"/>
                <w:lang w:val="en" w:eastAsia="en-US"/>
              </w:rPr>
              <w:t xml:space="preserve">On 17 July 2014, the EU Court of Justice decided in the Danish preliminary ruling case </w:t>
            </w:r>
            <w:proofErr w:type="spellStart"/>
            <w:r>
              <w:rPr>
                <w:rFonts w:ascii="Calibri" w:hAnsi="Calibri"/>
                <w:sz w:val="20"/>
                <w:szCs w:val="20"/>
                <w:lang w:val="en" w:eastAsia="en-US"/>
              </w:rPr>
              <w:t>Nordea</w:t>
            </w:r>
            <w:proofErr w:type="spellEnd"/>
            <w:r>
              <w:rPr>
                <w:rFonts w:ascii="Calibri" w:hAnsi="Calibri"/>
                <w:sz w:val="20"/>
                <w:szCs w:val="20"/>
                <w:lang w:val="en" w:eastAsia="en-US"/>
              </w:rPr>
              <w:t xml:space="preserve"> Bank,              C-48/13, that a member state may not, in the event of transfer of a permanent establishment situated in another EU/EEA state to a non-resident company in the same group, reincorporate the PE´s losses previously deducted into the transferring company’s taxable profit, in so far as the first member state taxes both the profits made by that establishment before its transfer and those resulting from the gain made upon the transfer.</w:t>
            </w:r>
          </w:p>
          <w:p w:rsidR="00D0595A" w:rsidRPr="00D0595A" w:rsidRDefault="00D0595A">
            <w:pPr>
              <w:spacing w:line="276" w:lineRule="auto"/>
              <w:ind w:left="284" w:right="141"/>
              <w:jc w:val="both"/>
              <w:rPr>
                <w:lang w:val="en-GB"/>
              </w:rPr>
            </w:pPr>
            <w:r>
              <w:rPr>
                <w:rFonts w:ascii="Calibri" w:hAnsi="Calibri"/>
                <w:sz w:val="20"/>
                <w:szCs w:val="20"/>
                <w:lang w:val="en" w:eastAsia="en-US"/>
              </w:rPr>
              <w:t> </w:t>
            </w:r>
          </w:p>
          <w:p w:rsidR="00D0595A" w:rsidRDefault="00D0595A" w:rsidP="007F6816">
            <w:pPr>
              <w:pStyle w:val="Lijstalinea"/>
              <w:numPr>
                <w:ilvl w:val="0"/>
                <w:numId w:val="2"/>
              </w:numPr>
              <w:spacing w:line="276" w:lineRule="auto"/>
              <w:ind w:right="141"/>
              <w:jc w:val="both"/>
            </w:pPr>
            <w:hyperlink r:id="rId6" w:history="1">
              <w:r>
                <w:rPr>
                  <w:rStyle w:val="Hyperlink"/>
                  <w:sz w:val="20"/>
                  <w:szCs w:val="20"/>
                  <w:lang w:val="en" w:eastAsia="en-US"/>
                </w:rPr>
                <w:t>Judgment and Advocate-General Opinion</w:t>
              </w:r>
            </w:hyperlink>
          </w:p>
          <w:p w:rsidR="00D0595A" w:rsidRDefault="00D0595A">
            <w:pPr>
              <w:shd w:val="clear" w:color="auto" w:fill="FEFEFE"/>
              <w:spacing w:line="276" w:lineRule="auto"/>
              <w:ind w:right="2925"/>
              <w:jc w:val="both"/>
            </w:pPr>
            <w:r>
              <w:rPr>
                <w:rFonts w:ascii="Calibri" w:hAnsi="Calibri"/>
                <w:b/>
                <w:bCs/>
                <w:color w:val="000000"/>
                <w:sz w:val="20"/>
                <w:szCs w:val="20"/>
                <w:lang w:val="en" w:eastAsia="en-US"/>
              </w:rPr>
              <w:t> </w:t>
            </w:r>
          </w:p>
          <w:p w:rsidR="00D0595A" w:rsidRDefault="00D0595A">
            <w:pPr>
              <w:shd w:val="clear" w:color="auto" w:fill="FEFEFE"/>
              <w:spacing w:line="276" w:lineRule="auto"/>
              <w:ind w:right="2925"/>
              <w:jc w:val="both"/>
            </w:pPr>
            <w:r>
              <w:rPr>
                <w:rFonts w:ascii="Calibri" w:hAnsi="Calibri"/>
                <w:b/>
                <w:bCs/>
                <w:color w:val="000000"/>
                <w:sz w:val="20"/>
                <w:szCs w:val="20"/>
                <w:lang w:val="en" w:eastAsia="en-US"/>
              </w:rPr>
              <w:t> </w:t>
            </w:r>
          </w:p>
          <w:p w:rsidR="00D0595A" w:rsidRPr="00D0595A" w:rsidRDefault="00D0595A" w:rsidP="007F6816">
            <w:pPr>
              <w:pStyle w:val="Lijstalinea"/>
              <w:numPr>
                <w:ilvl w:val="0"/>
                <w:numId w:val="1"/>
              </w:numPr>
              <w:shd w:val="clear" w:color="auto" w:fill="FEFEFE"/>
              <w:spacing w:line="276" w:lineRule="auto"/>
              <w:jc w:val="both"/>
              <w:rPr>
                <w:lang w:val="en-GB"/>
              </w:rPr>
            </w:pPr>
            <w:r>
              <w:rPr>
                <w:b/>
                <w:bCs/>
                <w:color w:val="000000"/>
                <w:sz w:val="20"/>
                <w:szCs w:val="20"/>
                <w:lang w:val="en" w:eastAsia="en-US"/>
              </w:rPr>
              <w:t>Explanatory notes for 2015 VAT changes now available in all EU languages</w:t>
            </w:r>
          </w:p>
          <w:p w:rsidR="00D0595A" w:rsidRPr="00D0595A" w:rsidRDefault="00D0595A">
            <w:pPr>
              <w:pStyle w:val="Lijstalinea"/>
              <w:shd w:val="clear" w:color="auto" w:fill="FEFEFE"/>
              <w:spacing w:line="276" w:lineRule="auto"/>
              <w:jc w:val="both"/>
              <w:rPr>
                <w:lang w:val="en-GB"/>
              </w:rPr>
            </w:pPr>
            <w:r>
              <w:rPr>
                <w:b/>
                <w:bCs/>
                <w:color w:val="000000"/>
                <w:sz w:val="20"/>
                <w:szCs w:val="20"/>
                <w:lang w:val="en" w:eastAsia="en-US"/>
              </w:rPr>
              <w:t> </w:t>
            </w:r>
          </w:p>
          <w:p w:rsidR="00D0595A" w:rsidRPr="00D0595A" w:rsidRDefault="00D0595A">
            <w:pPr>
              <w:spacing w:line="276" w:lineRule="auto"/>
              <w:ind w:left="284"/>
              <w:jc w:val="both"/>
              <w:rPr>
                <w:lang w:val="en-GB"/>
              </w:rPr>
            </w:pPr>
            <w:r>
              <w:rPr>
                <w:rFonts w:ascii="Calibri" w:hAnsi="Calibri"/>
                <w:sz w:val="20"/>
                <w:szCs w:val="20"/>
                <w:lang w:val="en-GB" w:eastAsia="en-US"/>
              </w:rPr>
              <w:t>On 30 July 2014, the European Commission has made available in all 23 EU languages its Explanatory Notes on the VAT changes that will apply as of 1 January 2015 for EU providers of e-services, telecommunications and broadcasting. The Explanatory Notes cover the upcoming changes to the place of supply rules more widely than the specific Mini-One-Stop-Shop Guidelines published in October 2013 (with June 2014 additions on audit). Like the Mini-One-Stop-Shop Guidelines, the Explanatory Notes are not legally binding and should be considered a work in progress, not a final product.</w:t>
            </w:r>
          </w:p>
          <w:p w:rsidR="00D0595A" w:rsidRPr="00D0595A" w:rsidRDefault="00D0595A">
            <w:pPr>
              <w:shd w:val="clear" w:color="auto" w:fill="FEFEFE"/>
              <w:spacing w:line="276" w:lineRule="auto"/>
              <w:ind w:right="2925"/>
              <w:jc w:val="both"/>
              <w:rPr>
                <w:lang w:val="en-GB"/>
              </w:rPr>
            </w:pPr>
            <w:r>
              <w:rPr>
                <w:rFonts w:ascii="Calibri" w:hAnsi="Calibri"/>
                <w:color w:val="000000"/>
                <w:sz w:val="20"/>
                <w:szCs w:val="20"/>
                <w:lang w:val="en-GB" w:eastAsia="en-US"/>
              </w:rPr>
              <w:t> </w:t>
            </w:r>
          </w:p>
          <w:p w:rsidR="00D0595A" w:rsidRPr="00D0595A" w:rsidRDefault="00D0595A" w:rsidP="007F6816">
            <w:pPr>
              <w:pStyle w:val="Lijstalinea"/>
              <w:numPr>
                <w:ilvl w:val="0"/>
                <w:numId w:val="3"/>
              </w:numPr>
              <w:shd w:val="clear" w:color="auto" w:fill="FEFEFE"/>
              <w:spacing w:line="276" w:lineRule="auto"/>
              <w:ind w:right="2925"/>
              <w:jc w:val="both"/>
              <w:rPr>
                <w:lang w:val="en-GB"/>
              </w:rPr>
            </w:pPr>
            <w:hyperlink r:id="rId7" w:history="1">
              <w:r>
                <w:rPr>
                  <w:rStyle w:val="Hyperlink"/>
                  <w:sz w:val="20"/>
                  <w:szCs w:val="20"/>
                  <w:lang w:val="en" w:eastAsia="en-US"/>
                </w:rPr>
                <w:t>Explanatory notes in all EU languages</w:t>
              </w:r>
            </w:hyperlink>
          </w:p>
          <w:p w:rsidR="00D0595A" w:rsidRPr="00D0595A" w:rsidRDefault="00D0595A">
            <w:pPr>
              <w:shd w:val="clear" w:color="auto" w:fill="FEFEFE"/>
              <w:spacing w:line="276" w:lineRule="auto"/>
              <w:ind w:right="2925"/>
              <w:jc w:val="both"/>
              <w:rPr>
                <w:lang w:val="en-GB"/>
              </w:rPr>
            </w:pPr>
            <w:r>
              <w:rPr>
                <w:color w:val="000000"/>
                <w:sz w:val="20"/>
                <w:szCs w:val="20"/>
                <w:lang w:val="en" w:eastAsia="en-US"/>
              </w:rPr>
              <w:t> </w:t>
            </w:r>
          </w:p>
          <w:p w:rsidR="00D0595A" w:rsidRPr="00D0595A" w:rsidRDefault="00D0595A">
            <w:pPr>
              <w:shd w:val="clear" w:color="auto" w:fill="FEFEFE"/>
              <w:spacing w:line="276" w:lineRule="auto"/>
              <w:ind w:right="2925"/>
              <w:jc w:val="both"/>
              <w:rPr>
                <w:lang w:val="en-GB"/>
              </w:rPr>
            </w:pPr>
            <w:r>
              <w:rPr>
                <w:color w:val="000000"/>
                <w:sz w:val="20"/>
                <w:szCs w:val="20"/>
                <w:lang w:val="en" w:eastAsia="en-US"/>
              </w:rPr>
              <w:t> </w:t>
            </w:r>
          </w:p>
          <w:p w:rsidR="00D0595A" w:rsidRPr="00D0595A" w:rsidRDefault="00D0595A" w:rsidP="007F6816">
            <w:pPr>
              <w:pStyle w:val="Lijstalinea"/>
              <w:numPr>
                <w:ilvl w:val="0"/>
                <w:numId w:val="1"/>
              </w:numPr>
              <w:shd w:val="clear" w:color="auto" w:fill="FEFEFE"/>
              <w:spacing w:line="276" w:lineRule="auto"/>
              <w:jc w:val="both"/>
              <w:rPr>
                <w:lang w:val="en-GB"/>
              </w:rPr>
            </w:pPr>
            <w:r>
              <w:rPr>
                <w:b/>
                <w:bCs/>
                <w:sz w:val="20"/>
                <w:szCs w:val="20"/>
                <w:lang w:val="en" w:eastAsia="en-US"/>
              </w:rPr>
              <w:t xml:space="preserve">OECD Global Forum releases new tax compliance ratings for </w:t>
            </w:r>
            <w:r>
              <w:rPr>
                <w:rStyle w:val="Hyperlink"/>
                <w:b/>
                <w:bCs/>
                <w:color w:val="auto"/>
                <w:sz w:val="20"/>
                <w:szCs w:val="20"/>
                <w:u w:val="none"/>
                <w:lang w:val="en" w:eastAsia="en-US"/>
              </w:rPr>
              <w:t>10 jurisdictions</w:t>
            </w:r>
          </w:p>
          <w:p w:rsidR="00D0595A" w:rsidRPr="00D0595A" w:rsidRDefault="00D0595A">
            <w:pPr>
              <w:shd w:val="clear" w:color="auto" w:fill="FEFEFE"/>
              <w:spacing w:line="276" w:lineRule="auto"/>
              <w:ind w:right="2925"/>
              <w:jc w:val="both"/>
              <w:rPr>
                <w:lang w:val="en-GB"/>
              </w:rPr>
            </w:pPr>
            <w:r>
              <w:rPr>
                <w:rFonts w:ascii="Calibri" w:hAnsi="Calibri"/>
                <w:b/>
                <w:bCs/>
                <w:color w:val="000000"/>
                <w:sz w:val="20"/>
                <w:szCs w:val="20"/>
                <w:lang w:val="en" w:eastAsia="en-US"/>
              </w:rPr>
              <w:t> </w:t>
            </w:r>
          </w:p>
          <w:p w:rsidR="00D0595A" w:rsidRPr="00D0595A" w:rsidRDefault="00D0595A">
            <w:pPr>
              <w:spacing w:line="276" w:lineRule="auto"/>
              <w:ind w:left="284"/>
              <w:jc w:val="both"/>
              <w:rPr>
                <w:lang w:val="en-GB"/>
              </w:rPr>
            </w:pPr>
            <w:r>
              <w:rPr>
                <w:rFonts w:ascii="Calibri" w:hAnsi="Calibri"/>
                <w:sz w:val="20"/>
                <w:szCs w:val="20"/>
                <w:lang w:val="en" w:eastAsia="en-US"/>
              </w:rPr>
              <w:t>On 4 August 2014, the OECD Global Forum issued 10 new country compliance ratings, including European countries Andorra (“partially compliant”) and Macedonia (“largely compliant”), bringing the overall number of completed country ratings to 64. Mexico was the only one of the 10 new countries found to be overall compliant. Jersey had asked for a revision of its October 2013 rating following implementation of a number of recommendations but did not manage to improve its overall result (“largely compliant”).</w:t>
            </w:r>
          </w:p>
          <w:p w:rsidR="00D0595A" w:rsidRPr="00D0595A" w:rsidRDefault="00D0595A">
            <w:pPr>
              <w:spacing w:line="276" w:lineRule="auto"/>
              <w:jc w:val="both"/>
              <w:rPr>
                <w:lang w:val="en-GB"/>
              </w:rPr>
            </w:pPr>
            <w:r>
              <w:rPr>
                <w:rFonts w:ascii="Calibri" w:hAnsi="Calibri"/>
                <w:sz w:val="20"/>
                <w:szCs w:val="20"/>
                <w:lang w:val="en" w:eastAsia="en-US"/>
              </w:rPr>
              <w:t> </w:t>
            </w:r>
          </w:p>
          <w:p w:rsidR="00D0595A" w:rsidRDefault="00D0595A" w:rsidP="007F6816">
            <w:pPr>
              <w:pStyle w:val="Lijstalinea"/>
              <w:numPr>
                <w:ilvl w:val="0"/>
                <w:numId w:val="3"/>
              </w:numPr>
              <w:spacing w:line="276" w:lineRule="auto"/>
              <w:jc w:val="both"/>
            </w:pPr>
            <w:hyperlink r:id="rId8" w:history="1">
              <w:r>
                <w:rPr>
                  <w:rStyle w:val="Hyperlink"/>
                  <w:sz w:val="20"/>
                  <w:szCs w:val="20"/>
                  <w:lang w:val="en" w:eastAsia="en-US"/>
                </w:rPr>
                <w:t>OECD press release</w:t>
              </w:r>
            </w:hyperlink>
          </w:p>
          <w:p w:rsidR="00D0595A" w:rsidRDefault="00D0595A">
            <w:pPr>
              <w:spacing w:line="276" w:lineRule="auto"/>
              <w:jc w:val="both"/>
            </w:pPr>
            <w:r>
              <w:rPr>
                <w:rFonts w:ascii="Calibri" w:hAnsi="Calibri"/>
                <w:sz w:val="20"/>
                <w:szCs w:val="20"/>
                <w:lang w:val="en" w:eastAsia="en-US"/>
              </w:rPr>
              <w:lastRenderedPageBreak/>
              <w:t> </w:t>
            </w:r>
          </w:p>
          <w:p w:rsidR="00D0595A" w:rsidRDefault="00D0595A">
            <w:pPr>
              <w:spacing w:line="276" w:lineRule="auto"/>
              <w:jc w:val="both"/>
            </w:pPr>
            <w:r>
              <w:rPr>
                <w:rFonts w:ascii="Calibri" w:hAnsi="Calibri"/>
                <w:sz w:val="20"/>
                <w:szCs w:val="20"/>
                <w:lang w:val="en" w:eastAsia="en-US"/>
              </w:rPr>
              <w:t> </w:t>
            </w:r>
          </w:p>
          <w:p w:rsidR="00D0595A" w:rsidRPr="00D0595A" w:rsidRDefault="00D0595A" w:rsidP="007F6816">
            <w:pPr>
              <w:pStyle w:val="Lijstalinea"/>
              <w:numPr>
                <w:ilvl w:val="0"/>
                <w:numId w:val="1"/>
              </w:numPr>
              <w:spacing w:line="276" w:lineRule="auto"/>
              <w:jc w:val="both"/>
              <w:rPr>
                <w:lang w:val="en-GB"/>
              </w:rPr>
            </w:pPr>
            <w:r>
              <w:rPr>
                <w:b/>
                <w:bCs/>
                <w:sz w:val="20"/>
                <w:szCs w:val="20"/>
                <w:lang w:val="en-US" w:eastAsia="en-US"/>
              </w:rPr>
              <w:t>OECD reports on impact of BEPS on developing countries</w:t>
            </w:r>
          </w:p>
          <w:p w:rsidR="00D0595A" w:rsidRPr="00D0595A" w:rsidRDefault="00D0595A">
            <w:pPr>
              <w:pStyle w:val="Lijstalinea"/>
              <w:spacing w:line="276" w:lineRule="auto"/>
              <w:jc w:val="both"/>
              <w:rPr>
                <w:lang w:val="en-GB"/>
              </w:rPr>
            </w:pPr>
            <w:r>
              <w:rPr>
                <w:sz w:val="20"/>
                <w:szCs w:val="20"/>
                <w:lang w:val="en" w:eastAsia="en-US"/>
              </w:rPr>
              <w:t> </w:t>
            </w:r>
          </w:p>
          <w:p w:rsidR="00D0595A" w:rsidRPr="00D0595A" w:rsidRDefault="00D0595A">
            <w:pPr>
              <w:spacing w:line="276" w:lineRule="auto"/>
              <w:ind w:left="284"/>
              <w:jc w:val="both"/>
              <w:rPr>
                <w:lang w:val="en-GB"/>
              </w:rPr>
            </w:pPr>
            <w:r>
              <w:rPr>
                <w:rFonts w:ascii="Calibri" w:hAnsi="Calibri"/>
                <w:sz w:val="20"/>
                <w:szCs w:val="20"/>
                <w:lang w:val="en" w:eastAsia="en-US"/>
              </w:rPr>
              <w:t>On 1 August 2014, the OECD has published Part I of a report to the G20 Development Working Group on the impact of BEPS (base erosion and profit shifting) on low income countries, pointing out the most relevant BEPS aspects for these countries, addressing, among other, problems of obtaining relevant data,     capacity-building and the danger of a “race to the bottom” through wasteful tax incentives to attract investment.</w:t>
            </w:r>
          </w:p>
          <w:p w:rsidR="00D0595A" w:rsidRPr="00D0595A" w:rsidRDefault="00D0595A">
            <w:pPr>
              <w:spacing w:line="276" w:lineRule="auto"/>
              <w:jc w:val="both"/>
              <w:rPr>
                <w:lang w:val="en-GB"/>
              </w:rPr>
            </w:pPr>
            <w:r>
              <w:rPr>
                <w:rFonts w:ascii="Calibri" w:hAnsi="Calibri"/>
                <w:sz w:val="20"/>
                <w:szCs w:val="20"/>
                <w:lang w:val="en" w:eastAsia="en-US"/>
              </w:rPr>
              <w:t> </w:t>
            </w:r>
          </w:p>
          <w:p w:rsidR="00D0595A" w:rsidRDefault="00D0595A" w:rsidP="007F6816">
            <w:pPr>
              <w:pStyle w:val="Lijstalinea"/>
              <w:numPr>
                <w:ilvl w:val="0"/>
                <w:numId w:val="3"/>
              </w:numPr>
              <w:spacing w:line="276" w:lineRule="auto"/>
              <w:jc w:val="both"/>
            </w:pPr>
            <w:hyperlink r:id="rId9" w:history="1">
              <w:r>
                <w:rPr>
                  <w:rStyle w:val="Hyperlink"/>
                  <w:sz w:val="20"/>
                  <w:szCs w:val="20"/>
                  <w:lang w:val="en" w:eastAsia="en-US"/>
                </w:rPr>
                <w:t>Part I of the Report</w:t>
              </w:r>
            </w:hyperlink>
          </w:p>
          <w:p w:rsidR="00D0595A" w:rsidRDefault="00D0595A">
            <w:pPr>
              <w:spacing w:line="276" w:lineRule="auto"/>
              <w:jc w:val="both"/>
            </w:pPr>
            <w:r>
              <w:rPr>
                <w:rFonts w:ascii="Calibri" w:hAnsi="Calibri"/>
                <w:sz w:val="20"/>
                <w:szCs w:val="20"/>
                <w:lang w:val="en" w:eastAsia="en-US"/>
              </w:rPr>
              <w:t> </w:t>
            </w:r>
          </w:p>
          <w:p w:rsidR="00D0595A" w:rsidRDefault="00D0595A">
            <w:pPr>
              <w:spacing w:line="276" w:lineRule="auto"/>
              <w:jc w:val="both"/>
            </w:pPr>
            <w:r>
              <w:rPr>
                <w:rFonts w:ascii="Calibri" w:hAnsi="Calibri"/>
                <w:sz w:val="20"/>
                <w:szCs w:val="20"/>
                <w:lang w:val="en" w:eastAsia="en-US"/>
              </w:rPr>
              <w:t> </w:t>
            </w:r>
          </w:p>
          <w:p w:rsidR="00D0595A" w:rsidRPr="00D0595A" w:rsidRDefault="00D0595A" w:rsidP="007F6816">
            <w:pPr>
              <w:pStyle w:val="Lijstalinea"/>
              <w:numPr>
                <w:ilvl w:val="0"/>
                <w:numId w:val="1"/>
              </w:numPr>
              <w:spacing w:line="276" w:lineRule="auto"/>
              <w:jc w:val="both"/>
              <w:rPr>
                <w:lang w:val="en-GB"/>
              </w:rPr>
            </w:pPr>
            <w:r>
              <w:rPr>
                <w:b/>
                <w:bCs/>
                <w:sz w:val="20"/>
                <w:szCs w:val="20"/>
                <w:lang w:val="en-GB" w:eastAsia="en-US"/>
              </w:rPr>
              <w:t>VAT: ECJ decides on exemption of imported goods under warehousing arrangements other than customs</w:t>
            </w:r>
          </w:p>
          <w:p w:rsidR="00D0595A" w:rsidRPr="00D0595A" w:rsidRDefault="00D0595A">
            <w:pPr>
              <w:pStyle w:val="Lijstalinea"/>
              <w:spacing w:line="276" w:lineRule="auto"/>
              <w:ind w:left="0"/>
              <w:jc w:val="both"/>
              <w:rPr>
                <w:lang w:val="en-GB"/>
              </w:rPr>
            </w:pPr>
            <w:r>
              <w:rPr>
                <w:sz w:val="20"/>
                <w:szCs w:val="20"/>
                <w:lang w:val="en-GB" w:eastAsia="en-US"/>
              </w:rPr>
              <w:t> </w:t>
            </w:r>
          </w:p>
          <w:p w:rsidR="00D0595A" w:rsidRPr="00D0595A" w:rsidRDefault="00D0595A">
            <w:pPr>
              <w:pStyle w:val="Lijstalinea"/>
              <w:spacing w:line="276" w:lineRule="auto"/>
              <w:ind w:left="284"/>
              <w:jc w:val="both"/>
              <w:rPr>
                <w:lang w:val="en-GB"/>
              </w:rPr>
            </w:pPr>
            <w:r>
              <w:rPr>
                <w:sz w:val="20"/>
                <w:szCs w:val="20"/>
                <w:lang w:val="en-GB" w:eastAsia="en-US"/>
              </w:rPr>
              <w:t xml:space="preserve">On 17 July 2014, the EU Court of Justice has decided in the Italian preliminary ruling case C-272/13, </w:t>
            </w:r>
            <w:proofErr w:type="spellStart"/>
            <w:r>
              <w:rPr>
                <w:sz w:val="20"/>
                <w:szCs w:val="20"/>
                <w:lang w:val="en-GB" w:eastAsia="en-US"/>
              </w:rPr>
              <w:t>Equoland</w:t>
            </w:r>
            <w:proofErr w:type="spellEnd"/>
            <w:r>
              <w:rPr>
                <w:sz w:val="20"/>
                <w:szCs w:val="20"/>
                <w:lang w:val="en-GB" w:eastAsia="en-US"/>
              </w:rPr>
              <w:t>, that national law may require, for an exemption from paying VAT, that goods which are imported and destined for a tax warehouse for the purposes of VAT be physically placed in that warehouse.   However, national law may not require the payment of VAT on importation even though that tax has been settled already under the reverse charge mechanism through self-invoicing and entry in the sales and purchases register of the taxable person.</w:t>
            </w:r>
          </w:p>
          <w:p w:rsidR="00D0595A" w:rsidRPr="00D0595A" w:rsidRDefault="00D0595A">
            <w:pPr>
              <w:pStyle w:val="Lijstalinea"/>
              <w:spacing w:line="276" w:lineRule="auto"/>
              <w:ind w:left="0"/>
              <w:jc w:val="both"/>
              <w:rPr>
                <w:lang w:val="en-GB"/>
              </w:rPr>
            </w:pPr>
            <w:r>
              <w:rPr>
                <w:sz w:val="20"/>
                <w:szCs w:val="20"/>
                <w:lang w:val="en-GB" w:eastAsia="en-US"/>
              </w:rPr>
              <w:t> </w:t>
            </w:r>
          </w:p>
          <w:p w:rsidR="00D0595A" w:rsidRDefault="00D0595A" w:rsidP="007F6816">
            <w:pPr>
              <w:pStyle w:val="Lijstalinea"/>
              <w:numPr>
                <w:ilvl w:val="0"/>
                <w:numId w:val="3"/>
              </w:numPr>
              <w:spacing w:line="276" w:lineRule="auto"/>
              <w:jc w:val="both"/>
            </w:pPr>
            <w:hyperlink r:id="rId10" w:history="1">
              <w:r>
                <w:rPr>
                  <w:rStyle w:val="Hyperlink"/>
                  <w:sz w:val="20"/>
                  <w:szCs w:val="20"/>
                  <w:lang w:val="en-GB" w:eastAsia="en-US"/>
                </w:rPr>
                <w:t>Judgment</w:t>
              </w:r>
            </w:hyperlink>
          </w:p>
          <w:p w:rsidR="00D0595A" w:rsidRDefault="00D0595A">
            <w:pPr>
              <w:pStyle w:val="Lijstalinea"/>
              <w:spacing w:line="276" w:lineRule="auto"/>
              <w:ind w:left="0"/>
              <w:jc w:val="both"/>
            </w:pPr>
            <w:r>
              <w:rPr>
                <w:sz w:val="20"/>
                <w:szCs w:val="20"/>
                <w:lang w:val="en-GB" w:eastAsia="en-US"/>
              </w:rPr>
              <w:t> </w:t>
            </w:r>
          </w:p>
          <w:p w:rsidR="00D0595A" w:rsidRDefault="00D0595A">
            <w:pPr>
              <w:spacing w:line="276" w:lineRule="auto"/>
              <w:jc w:val="center"/>
            </w:pPr>
            <w:r>
              <w:rPr>
                <w:rFonts w:ascii="Calibri" w:hAnsi="Calibri"/>
                <w:sz w:val="20"/>
                <w:szCs w:val="20"/>
                <w:lang w:val="en-GB" w:eastAsia="en-US"/>
              </w:rPr>
              <w:t> </w:t>
            </w:r>
          </w:p>
          <w:p w:rsidR="00D0595A" w:rsidRDefault="00D0595A">
            <w:pPr>
              <w:spacing w:line="276" w:lineRule="auto"/>
              <w:jc w:val="center"/>
            </w:pPr>
            <w:r>
              <w:rPr>
                <w:rFonts w:ascii="Calibri" w:hAnsi="Calibri"/>
                <w:sz w:val="20"/>
                <w:szCs w:val="20"/>
                <w:lang w:val="en-GB" w:eastAsia="en-US"/>
              </w:rPr>
              <w:t>*****</w:t>
            </w:r>
          </w:p>
          <w:p w:rsidR="00D0595A" w:rsidRDefault="00D0595A">
            <w:pPr>
              <w:spacing w:line="276" w:lineRule="auto"/>
              <w:jc w:val="both"/>
            </w:pPr>
            <w:r>
              <w:rPr>
                <w:rFonts w:ascii="Calibri" w:hAnsi="Calibri"/>
                <w:sz w:val="20"/>
                <w:szCs w:val="20"/>
                <w:lang w:val="en-GB" w:eastAsia="en-US"/>
              </w:rPr>
              <w:t> </w:t>
            </w:r>
          </w:p>
          <w:p w:rsidR="00D0595A" w:rsidRPr="00D0595A" w:rsidRDefault="00D0595A">
            <w:pPr>
              <w:pStyle w:val="Lijstalinea"/>
              <w:spacing w:line="276" w:lineRule="auto"/>
              <w:ind w:left="126"/>
              <w:jc w:val="center"/>
              <w:rPr>
                <w:lang w:val="en-GB"/>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D0595A" w:rsidRPr="00D0595A" w:rsidRDefault="00D0595A">
            <w:pPr>
              <w:pStyle w:val="Lijstalinea"/>
              <w:spacing w:line="276" w:lineRule="auto"/>
              <w:ind w:left="126"/>
              <w:jc w:val="center"/>
              <w:rPr>
                <w:lang w:val="en-GB"/>
              </w:rPr>
            </w:pPr>
            <w:r>
              <w:rPr>
                <w:i/>
                <w:iCs/>
                <w:sz w:val="20"/>
                <w:szCs w:val="20"/>
                <w:lang w:val="en-GB" w:eastAsia="en-US"/>
              </w:rPr>
              <w:t> </w:t>
            </w:r>
          </w:p>
          <w:p w:rsidR="00D0595A" w:rsidRPr="00D0595A" w:rsidRDefault="00D0595A">
            <w:pPr>
              <w:pStyle w:val="Lijstalinea"/>
              <w:spacing w:line="276" w:lineRule="auto"/>
              <w:ind w:left="126"/>
              <w:jc w:val="center"/>
              <w:rPr>
                <w:lang w:val="en-GB"/>
              </w:rPr>
            </w:pPr>
            <w:hyperlink r:id="rId11" w:history="1">
              <w:r>
                <w:rPr>
                  <w:rStyle w:val="Hyperlink"/>
                  <w:i/>
                  <w:iCs/>
                  <w:sz w:val="20"/>
                  <w:szCs w:val="20"/>
                  <w:lang w:val="en-GB" w:eastAsia="en-US"/>
                </w:rPr>
                <w:t>www.cfe-eutax.org</w:t>
              </w:r>
            </w:hyperlink>
          </w:p>
          <w:p w:rsidR="00D0595A" w:rsidRPr="00D0595A" w:rsidRDefault="00D0595A">
            <w:pPr>
              <w:pStyle w:val="Lijstalinea"/>
              <w:spacing w:line="276" w:lineRule="auto"/>
              <w:ind w:left="126"/>
              <w:jc w:val="center"/>
              <w:rPr>
                <w:lang w:val="en-GB"/>
              </w:rPr>
            </w:pPr>
            <w:r>
              <w:rPr>
                <w:rStyle w:val="Hyperlink"/>
                <w:i/>
                <w:iCs/>
                <w:sz w:val="20"/>
                <w:szCs w:val="20"/>
                <w:u w:val="none"/>
                <w:lang w:val="en-GB" w:eastAsia="en-US"/>
              </w:rPr>
              <w:t> </w:t>
            </w:r>
          </w:p>
          <w:p w:rsidR="00D0595A" w:rsidRPr="00D0595A" w:rsidRDefault="00D0595A">
            <w:pPr>
              <w:pStyle w:val="Lijstalinea"/>
              <w:spacing w:line="276" w:lineRule="auto"/>
              <w:ind w:left="126"/>
              <w:jc w:val="center"/>
              <w:rPr>
                <w:lang w:val="en-GB"/>
              </w:rPr>
            </w:pPr>
            <w:r>
              <w:rPr>
                <w:i/>
                <w:iCs/>
                <w:sz w:val="20"/>
                <w:szCs w:val="20"/>
                <w:lang w:val="en-US" w:eastAsia="en-US"/>
              </w:rPr>
              <w:t xml:space="preserve">Follow us on </w:t>
            </w:r>
            <w:hyperlink r:id="rId12" w:history="1">
              <w:r>
                <w:rPr>
                  <w:rStyle w:val="Hyperlink"/>
                  <w:sz w:val="20"/>
                  <w:szCs w:val="20"/>
                  <w:lang w:val="en-US" w:eastAsia="en-US"/>
                </w:rPr>
                <w:t>Linked in</w:t>
              </w:r>
            </w:hyperlink>
            <w:r w:rsidRPr="00D0595A">
              <w:rPr>
                <w:sz w:val="20"/>
                <w:szCs w:val="20"/>
                <w:lang w:val="en-GB" w:eastAsia="en-US"/>
              </w:rPr>
              <w:t xml:space="preserve"> </w:t>
            </w:r>
            <w:r>
              <w:rPr>
                <w:noProof/>
                <w:sz w:val="20"/>
                <w:szCs w:val="20"/>
              </w:rPr>
              <mc:AlternateContent>
                <mc:Choice Requires="wps">
                  <w:drawing>
                    <wp:inline distT="0" distB="0" distL="0" distR="0">
                      <wp:extent cx="200025" cy="190500"/>
                      <wp:effectExtent l="0" t="0" r="0" b="0"/>
                      <wp:docPr id="1" name="Rechthoek 1" descr="cid:image004.png@01CFAA5C.15EA1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0C4E9" id="Rechthoek 1" o:spid="_x0000_s1026" alt="cid:image004.png@01CFAA5C.15EA1810" style="width:1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" filled="f" stroked="f">
                      <o:lock v:ext="edit" aspectratio="t"/>
                      <w10:anchorlock/>
                    </v:rect>
                  </w:pict>
                </mc:Fallback>
              </mc:AlternateContent>
            </w:r>
            <w:r>
              <w:rPr>
                <w:i/>
                <w:iCs/>
                <w:sz w:val="20"/>
                <w:szCs w:val="20"/>
                <w:lang w:val="en-US" w:eastAsia="en-US"/>
              </w:rPr>
              <w:t>  </w:t>
            </w:r>
          </w:p>
        </w:tc>
      </w:tr>
      <w:tr w:rsidR="00D0595A" w:rsidRPr="00D0595A" w:rsidTr="00D0595A">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D0595A" w:rsidRPr="00D0595A">
              <w:trPr>
                <w:tblCellSpacing w:w="0" w:type="dxa"/>
              </w:trPr>
              <w:tc>
                <w:tcPr>
                  <w:tcW w:w="0" w:type="auto"/>
                  <w:vAlign w:val="center"/>
                  <w:hideMark/>
                </w:tcPr>
                <w:p w:rsidR="00D0595A" w:rsidRPr="00D0595A" w:rsidRDefault="00D0595A">
                  <w:pPr>
                    <w:spacing w:line="276" w:lineRule="auto"/>
                    <w:rPr>
                      <w:lang w:val="en-GB"/>
                    </w:rPr>
                  </w:pPr>
                  <w:r>
                    <w:rPr>
                      <w:rFonts w:ascii="Calibri" w:hAnsi="Calibri"/>
                      <w:sz w:val="22"/>
                      <w:szCs w:val="22"/>
                      <w:lang w:val="en-GB" w:eastAsia="en-US"/>
                    </w:rPr>
                    <w:lastRenderedPageBreak/>
                    <w:t> </w:t>
                  </w:r>
                </w:p>
              </w:tc>
            </w:tr>
          </w:tbl>
          <w:p w:rsidR="00D0595A" w:rsidRPr="00D0595A" w:rsidRDefault="00D0595A">
            <w:pPr>
              <w:rPr>
                <w:rFonts w:eastAsia="Times New Roman"/>
                <w:sz w:val="20"/>
                <w:szCs w:val="20"/>
                <w:lang w:val="en-GB"/>
              </w:rPr>
            </w:pPr>
          </w:p>
        </w:tc>
      </w:tr>
    </w:tbl>
    <w:p w:rsidR="00D0595A" w:rsidRPr="00D0595A" w:rsidRDefault="00D0595A" w:rsidP="00D0595A">
      <w:pPr>
        <w:rPr>
          <w:lang w:val="en-GB"/>
        </w:rPr>
      </w:pPr>
      <w:r>
        <w:rPr>
          <w:rFonts w:ascii="Calibri" w:hAnsi="Calibri"/>
          <w:sz w:val="22"/>
          <w:szCs w:val="22"/>
          <w:lang w:val="en-US"/>
        </w:rPr>
        <w:t> </w:t>
      </w:r>
    </w:p>
    <w:p w:rsidR="00205106" w:rsidRPr="00D0595A" w:rsidRDefault="00205106">
      <w:pPr>
        <w:rPr>
          <w:lang w:val="en-GB"/>
        </w:rPr>
      </w:pPr>
    </w:p>
    <w:sectPr w:rsidR="00205106" w:rsidRPr="00D05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03A"/>
    <w:multiLevelType w:val="hybridMultilevel"/>
    <w:tmpl w:val="098A5E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2CEB78CB"/>
    <w:multiLevelType w:val="hybridMultilevel"/>
    <w:tmpl w:val="07B4CA16"/>
    <w:lvl w:ilvl="0" w:tplc="46941BE8">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9E0E4D"/>
    <w:multiLevelType w:val="hybridMultilevel"/>
    <w:tmpl w:val="315C213C"/>
    <w:lvl w:ilvl="0" w:tplc="81DEBF3E">
      <w:start w:val="5"/>
      <w:numFmt w:val="bullet"/>
      <w:lvlText w:val="-"/>
      <w:lvlJc w:val="left"/>
      <w:pPr>
        <w:ind w:left="644" w:hanging="360"/>
      </w:pPr>
      <w:rPr>
        <w:rFonts w:ascii="Calibri" w:eastAsia="Calibri" w:hAnsi="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A"/>
    <w:rsid w:val="00205106"/>
    <w:rsid w:val="003B7674"/>
    <w:rsid w:val="00B21468"/>
    <w:rsid w:val="00D05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C6BF4-5F82-4A1A-8BB1-F609284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595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0595A"/>
    <w:rPr>
      <w:color w:val="0000FF"/>
      <w:u w:val="single"/>
    </w:rPr>
  </w:style>
  <w:style w:type="paragraph" w:styleId="Lijstalinea">
    <w:name w:val="List Paragraph"/>
    <w:basedOn w:val="Standaard"/>
    <w:uiPriority w:val="34"/>
    <w:qFormat/>
    <w:rsid w:val="00D0595A"/>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global-forum-releases-new-compliance-ratings-on-tax-transparency-for-10-jurisdicti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taxation_customs/resources/documents/taxation/vat/how_vat_works/telecom/explanatory_notes_2015_xx.pdf" TargetMode="External"/><Relationship Id="rId12" Type="http://schemas.openxmlformats.org/officeDocument/2006/relationships/hyperlink" Target="http://www.linkedin.com/company/confederation-fiscal-europeene?trk=company_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ria.europa.eu/juris/liste.jsf?language=en&amp;jur=C,T,F&amp;num=C-48/13&amp;td=ALL" TargetMode="External"/><Relationship Id="rId11" Type="http://schemas.openxmlformats.org/officeDocument/2006/relationships/hyperlink" Target="http://www.cfe-eutax.org" TargetMode="External"/><Relationship Id="rId5" Type="http://schemas.openxmlformats.org/officeDocument/2006/relationships/image" Target="media/image1.jpeg"/><Relationship Id="rId10" Type="http://schemas.openxmlformats.org/officeDocument/2006/relationships/hyperlink" Target="http://curia.europa.eu/juris/liste.jsf?language=en&amp;jur=C,T,F&amp;num=C-272/13&amp;td=ALL" TargetMode="External"/><Relationship Id="rId4" Type="http://schemas.openxmlformats.org/officeDocument/2006/relationships/webSettings" Target="webSettings.xml"/><Relationship Id="rId9" Type="http://schemas.openxmlformats.org/officeDocument/2006/relationships/hyperlink" Target="http://www.oecd.org/tax/part-1-of-report-to-g20-dwg-on-the-impact-of-beps-in-low-income-countries.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6D3F3C96.dotm</Template>
  <TotalTime>2</TotalTime>
  <Pages>2</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2014-08-05T05:58:00Z</dcterms:created>
  <dcterms:modified xsi:type="dcterms:W3CDTF">2014-08-05T06:00:00Z</dcterms:modified>
</cp:coreProperties>
</file>