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50C" w:rsidRDefault="000C350C" w:rsidP="000C350C">
      <w:pPr>
        <w:rPr>
          <w:color w:val="1F497D"/>
          <w:lang w:val="en-US"/>
        </w:rPr>
      </w:pPr>
    </w:p>
    <w:tbl>
      <w:tblPr>
        <w:tblW w:w="8154" w:type="dxa"/>
        <w:tblCellSpacing w:w="0" w:type="dxa"/>
        <w:tblBorders>
          <w:top w:val="single" w:sz="48" w:space="0" w:color="000099"/>
          <w:left w:val="single" w:sz="48" w:space="0" w:color="000099"/>
          <w:bottom w:val="single" w:sz="48" w:space="0" w:color="000099"/>
          <w:right w:val="single" w:sz="48" w:space="0" w:color="000099"/>
        </w:tblBorders>
        <w:tblCellMar>
          <w:left w:w="0" w:type="dxa"/>
          <w:right w:w="0" w:type="dxa"/>
        </w:tblCellMar>
        <w:tblLook w:val="04A0" w:firstRow="1" w:lastRow="0" w:firstColumn="1" w:lastColumn="0" w:noHBand="0" w:noVBand="1"/>
      </w:tblPr>
      <w:tblGrid>
        <w:gridCol w:w="9072"/>
      </w:tblGrid>
      <w:tr w:rsidR="000C350C" w:rsidRPr="000C350C" w:rsidTr="000C350C">
        <w:trPr>
          <w:tblCellSpacing w:w="0" w:type="dxa"/>
        </w:trPr>
        <w:tc>
          <w:tcPr>
            <w:tcW w:w="8154" w:type="dxa"/>
            <w:tcBorders>
              <w:top w:val="nil"/>
              <w:left w:val="nil"/>
              <w:bottom w:val="nil"/>
              <w:right w:val="nil"/>
            </w:tcBorders>
            <w:tcMar>
              <w:top w:w="375" w:type="dxa"/>
              <w:left w:w="300" w:type="dxa"/>
              <w:bottom w:w="300" w:type="dxa"/>
              <w:right w:w="300" w:type="dxa"/>
            </w:tcMar>
            <w:vAlign w:val="center"/>
          </w:tcPr>
          <w:tbl>
            <w:tblPr>
              <w:tblW w:w="8214" w:type="dxa"/>
              <w:tblCellSpacing w:w="0" w:type="dxa"/>
              <w:tblCellMar>
                <w:left w:w="0" w:type="dxa"/>
                <w:right w:w="0" w:type="dxa"/>
              </w:tblCellMar>
              <w:tblLook w:val="04A0" w:firstRow="1" w:lastRow="0" w:firstColumn="1" w:lastColumn="0" w:noHBand="0" w:noVBand="1"/>
            </w:tblPr>
            <w:tblGrid>
              <w:gridCol w:w="8466"/>
              <w:gridCol w:w="6"/>
            </w:tblGrid>
            <w:tr w:rsidR="000C350C">
              <w:trPr>
                <w:tblCellSpacing w:w="0" w:type="dxa"/>
              </w:trPr>
              <w:tc>
                <w:tcPr>
                  <w:tcW w:w="8205" w:type="dxa"/>
                  <w:vAlign w:val="center"/>
                  <w:hideMark/>
                </w:tcPr>
                <w:p w:rsidR="000C350C" w:rsidRDefault="000C350C">
                  <w:pPr>
                    <w:spacing w:line="276" w:lineRule="auto"/>
                    <w:jc w:val="both"/>
                    <w:rPr>
                      <w:lang w:val="en-GB"/>
                    </w:rPr>
                  </w:pPr>
                  <w:r>
                    <w:rPr>
                      <w:noProof/>
                      <w:lang w:eastAsia="nl-NL"/>
                    </w:rPr>
                    <w:drawing>
                      <wp:inline distT="0" distB="0" distL="0" distR="0">
                        <wp:extent cx="5760720" cy="666115"/>
                        <wp:effectExtent l="0" t="0" r="0" b="635"/>
                        <wp:docPr id="2" name="Afbeelding 2" descr="cid:image001.jpg@01CF9F60.5283CD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jpg@01CF9F60.5283CD4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60720" cy="666115"/>
                                </a:xfrm>
                                <a:prstGeom prst="rect">
                                  <a:avLst/>
                                </a:prstGeom>
                                <a:noFill/>
                                <a:ln>
                                  <a:noFill/>
                                </a:ln>
                              </pic:spPr>
                            </pic:pic>
                          </a:graphicData>
                        </a:graphic>
                      </wp:inline>
                    </w:drawing>
                  </w:r>
                </w:p>
              </w:tc>
              <w:tc>
                <w:tcPr>
                  <w:tcW w:w="0" w:type="auto"/>
                  <w:vAlign w:val="center"/>
                </w:tcPr>
                <w:p w:rsidR="000C350C" w:rsidRDefault="000C350C">
                  <w:pPr>
                    <w:spacing w:line="276" w:lineRule="auto"/>
                    <w:jc w:val="both"/>
                    <w:rPr>
                      <w:color w:val="ACABAB"/>
                      <w:lang w:val="en-GB"/>
                    </w:rPr>
                  </w:pPr>
                </w:p>
                <w:p w:rsidR="000C350C" w:rsidRDefault="000C350C">
                  <w:pPr>
                    <w:spacing w:line="276" w:lineRule="auto"/>
                    <w:jc w:val="both"/>
                    <w:rPr>
                      <w:color w:val="ACABAB"/>
                      <w:lang w:val="en-GB"/>
                    </w:rPr>
                  </w:pPr>
                </w:p>
              </w:tc>
            </w:tr>
          </w:tbl>
          <w:p w:rsidR="000C350C" w:rsidRDefault="000C350C">
            <w:pPr>
              <w:spacing w:line="276" w:lineRule="auto"/>
              <w:jc w:val="both"/>
              <w:rPr>
                <w:b/>
                <w:bCs/>
                <w:sz w:val="20"/>
                <w:szCs w:val="20"/>
                <w:lang w:val="en-GB"/>
              </w:rPr>
            </w:pPr>
            <w:r>
              <w:rPr>
                <w:b/>
                <w:bCs/>
                <w:sz w:val="20"/>
                <w:szCs w:val="20"/>
                <w:lang w:val="en-GB"/>
              </w:rPr>
              <w:t>Fiscal Committee</w:t>
            </w:r>
          </w:p>
          <w:p w:rsidR="000C350C" w:rsidRDefault="000C350C">
            <w:pPr>
              <w:spacing w:line="276" w:lineRule="auto"/>
              <w:jc w:val="both"/>
              <w:rPr>
                <w:b/>
                <w:bCs/>
                <w:sz w:val="20"/>
                <w:szCs w:val="20"/>
                <w:lang w:val="en-GB"/>
              </w:rPr>
            </w:pPr>
            <w:r>
              <w:rPr>
                <w:b/>
                <w:bCs/>
                <w:sz w:val="20"/>
                <w:szCs w:val="20"/>
                <w:lang w:val="en-GB"/>
              </w:rPr>
              <w:t>                                                                                                                                                                                   14 July 2014</w:t>
            </w:r>
          </w:p>
          <w:p w:rsidR="000C350C" w:rsidRDefault="000C350C">
            <w:pPr>
              <w:spacing w:line="276" w:lineRule="auto"/>
              <w:jc w:val="both"/>
              <w:rPr>
                <w:sz w:val="20"/>
                <w:szCs w:val="20"/>
                <w:lang w:val="en-US"/>
              </w:rPr>
            </w:pPr>
          </w:p>
          <w:p w:rsidR="000C350C" w:rsidRDefault="000C350C" w:rsidP="00622A87">
            <w:pPr>
              <w:pStyle w:val="Lijstalinea"/>
              <w:numPr>
                <w:ilvl w:val="0"/>
                <w:numId w:val="1"/>
              </w:numPr>
              <w:spacing w:line="276" w:lineRule="auto"/>
              <w:ind w:left="426" w:hanging="426"/>
              <w:jc w:val="both"/>
              <w:rPr>
                <w:b/>
                <w:bCs/>
                <w:sz w:val="20"/>
                <w:szCs w:val="20"/>
                <w:lang w:val="en-US" w:eastAsia="en-US"/>
              </w:rPr>
            </w:pPr>
            <w:r>
              <w:rPr>
                <w:b/>
                <w:bCs/>
                <w:sz w:val="20"/>
                <w:szCs w:val="20"/>
                <w:lang w:val="en-US" w:eastAsia="en-US"/>
              </w:rPr>
              <w:t>Commission sets up expert group for automatic exchange of financial account information</w:t>
            </w:r>
          </w:p>
          <w:p w:rsidR="000C350C" w:rsidRDefault="000C350C">
            <w:pPr>
              <w:spacing w:line="276" w:lineRule="auto"/>
              <w:jc w:val="both"/>
              <w:rPr>
                <w:sz w:val="20"/>
                <w:szCs w:val="20"/>
                <w:lang w:val="en-US"/>
              </w:rPr>
            </w:pPr>
          </w:p>
          <w:p w:rsidR="000C350C" w:rsidRDefault="000C350C">
            <w:pPr>
              <w:pStyle w:val="Lijstalinea"/>
              <w:spacing w:line="276" w:lineRule="auto"/>
              <w:ind w:left="0"/>
              <w:jc w:val="both"/>
              <w:rPr>
                <w:sz w:val="20"/>
                <w:szCs w:val="20"/>
                <w:lang w:val="en-GB" w:eastAsia="en-US"/>
              </w:rPr>
            </w:pPr>
            <w:r>
              <w:rPr>
                <w:sz w:val="20"/>
                <w:szCs w:val="20"/>
                <w:lang w:val="en-GB" w:eastAsia="en-US"/>
              </w:rPr>
              <w:t xml:space="preserve">On 11 July 2014, the European Commission announced the setting up of a new expert group dealing specifically with the EU </w:t>
            </w:r>
            <w:hyperlink r:id="rId7" w:history="1">
              <w:r>
                <w:rPr>
                  <w:rStyle w:val="Hyperlink"/>
                  <w:color w:val="auto"/>
                  <w:sz w:val="20"/>
                  <w:szCs w:val="20"/>
                  <w:u w:val="none"/>
                  <w:lang w:val="en-GB" w:eastAsia="en-US"/>
                </w:rPr>
                <w:t>Savings Taxation Directive</w:t>
              </w:r>
            </w:hyperlink>
            <w:r>
              <w:rPr>
                <w:sz w:val="20"/>
                <w:szCs w:val="20"/>
                <w:lang w:val="en-GB" w:eastAsia="en-US"/>
              </w:rPr>
              <w:t xml:space="preserve"> and </w:t>
            </w:r>
            <w:hyperlink r:id="rId8" w:history="1">
              <w:r>
                <w:rPr>
                  <w:rStyle w:val="Hyperlink"/>
                  <w:color w:val="auto"/>
                  <w:sz w:val="20"/>
                  <w:szCs w:val="20"/>
                  <w:u w:val="none"/>
                  <w:lang w:val="en-GB" w:eastAsia="en-US"/>
                </w:rPr>
                <w:t>Directive on Administrative Co-operation in Direct Taxation</w:t>
              </w:r>
            </w:hyperlink>
            <w:r>
              <w:rPr>
                <w:sz w:val="20"/>
                <w:szCs w:val="20"/>
                <w:lang w:val="en-US" w:eastAsia="en-US"/>
              </w:rPr>
              <w:t>. The group will advise</w:t>
            </w:r>
            <w:r>
              <w:rPr>
                <w:sz w:val="20"/>
                <w:szCs w:val="20"/>
                <w:lang w:val="en-GB" w:eastAsia="en-US"/>
              </w:rPr>
              <w:t xml:space="preserve"> the Commission on the alignment of these with the yet-to-be-adopted OECD global standard on automatic exchange of financial account information. The mandate of the new expert group will last until June 2017. The Commission has invited organisations representing financial sector businesses and other organisations involved in good tax governance and promoting tax compliance to apply until 8 August 2014.</w:t>
            </w:r>
          </w:p>
          <w:p w:rsidR="000C350C" w:rsidRDefault="000C350C">
            <w:pPr>
              <w:pStyle w:val="Lijstalinea"/>
              <w:spacing w:line="276" w:lineRule="auto"/>
              <w:ind w:left="1068"/>
              <w:jc w:val="both"/>
              <w:rPr>
                <w:sz w:val="20"/>
                <w:szCs w:val="20"/>
                <w:lang w:val="en-GB" w:eastAsia="en-US"/>
              </w:rPr>
            </w:pPr>
          </w:p>
          <w:p w:rsidR="000C350C" w:rsidRDefault="000C350C" w:rsidP="00622A87">
            <w:pPr>
              <w:pStyle w:val="Lijstalinea"/>
              <w:numPr>
                <w:ilvl w:val="0"/>
                <w:numId w:val="2"/>
              </w:numPr>
              <w:spacing w:line="276" w:lineRule="auto"/>
              <w:jc w:val="both"/>
              <w:rPr>
                <w:color w:val="0000FF"/>
                <w:sz w:val="20"/>
                <w:szCs w:val="20"/>
                <w:lang w:val="en-GB" w:eastAsia="en-US"/>
              </w:rPr>
            </w:pPr>
            <w:hyperlink r:id="rId9" w:history="1">
              <w:r>
                <w:rPr>
                  <w:rStyle w:val="Hyperlink"/>
                  <w:sz w:val="20"/>
                  <w:szCs w:val="20"/>
                  <w:lang w:val="en-GB" w:eastAsia="en-US"/>
                </w:rPr>
                <w:t>Commission website</w:t>
              </w:r>
            </w:hyperlink>
          </w:p>
          <w:p w:rsidR="000C350C" w:rsidRDefault="000C350C" w:rsidP="00622A87">
            <w:pPr>
              <w:pStyle w:val="Lijstalinea"/>
              <w:numPr>
                <w:ilvl w:val="0"/>
                <w:numId w:val="2"/>
              </w:numPr>
              <w:spacing w:line="276" w:lineRule="auto"/>
              <w:jc w:val="both"/>
              <w:rPr>
                <w:color w:val="0000FF"/>
                <w:sz w:val="20"/>
                <w:szCs w:val="20"/>
                <w:lang w:val="en-GB" w:eastAsia="en-US"/>
              </w:rPr>
            </w:pPr>
            <w:hyperlink r:id="rId10" w:history="1">
              <w:r>
                <w:rPr>
                  <w:rStyle w:val="Hyperlink"/>
                  <w:sz w:val="20"/>
                  <w:szCs w:val="20"/>
                  <w:lang w:val="en-GB" w:eastAsia="en-US"/>
                </w:rPr>
                <w:t>Call for applications</w:t>
              </w:r>
            </w:hyperlink>
          </w:p>
          <w:p w:rsidR="000C350C" w:rsidRDefault="000C350C">
            <w:pPr>
              <w:pStyle w:val="Lijstalinea"/>
              <w:spacing w:line="276" w:lineRule="auto"/>
              <w:ind w:left="1068"/>
              <w:jc w:val="both"/>
              <w:rPr>
                <w:color w:val="1F497D"/>
                <w:sz w:val="20"/>
                <w:szCs w:val="20"/>
                <w:lang w:val="en-US" w:eastAsia="en-US"/>
              </w:rPr>
            </w:pPr>
          </w:p>
          <w:p w:rsidR="000C350C" w:rsidRDefault="000C350C">
            <w:pPr>
              <w:spacing w:line="276" w:lineRule="auto"/>
              <w:ind w:left="360"/>
              <w:jc w:val="both"/>
              <w:rPr>
                <w:color w:val="1F497D"/>
                <w:sz w:val="20"/>
                <w:szCs w:val="20"/>
                <w:lang w:val="pt-BR"/>
              </w:rPr>
            </w:pPr>
          </w:p>
          <w:p w:rsidR="000C350C" w:rsidRDefault="000C350C" w:rsidP="00622A87">
            <w:pPr>
              <w:pStyle w:val="Lijstalinea"/>
              <w:numPr>
                <w:ilvl w:val="0"/>
                <w:numId w:val="1"/>
              </w:numPr>
              <w:spacing w:line="276" w:lineRule="auto"/>
              <w:ind w:left="426" w:hanging="426"/>
              <w:jc w:val="both"/>
              <w:rPr>
                <w:b/>
                <w:bCs/>
                <w:sz w:val="20"/>
                <w:szCs w:val="20"/>
                <w:lang w:val="en-GB" w:eastAsia="en-US"/>
              </w:rPr>
            </w:pPr>
            <w:r>
              <w:rPr>
                <w:b/>
                <w:bCs/>
                <w:sz w:val="20"/>
                <w:szCs w:val="20"/>
                <w:lang w:val="en-GB" w:eastAsia="en-US"/>
              </w:rPr>
              <w:t>France referred to ECJ regarding donations to foreign general-interest bodies</w:t>
            </w:r>
          </w:p>
          <w:p w:rsidR="000C350C" w:rsidRDefault="000C350C">
            <w:pPr>
              <w:pStyle w:val="Lijstalinea"/>
              <w:spacing w:line="276" w:lineRule="auto"/>
              <w:jc w:val="both"/>
              <w:rPr>
                <w:sz w:val="20"/>
                <w:szCs w:val="20"/>
                <w:lang w:val="en-GB" w:eastAsia="en-US"/>
              </w:rPr>
            </w:pPr>
          </w:p>
          <w:p w:rsidR="000C350C" w:rsidRDefault="000C350C">
            <w:pPr>
              <w:spacing w:line="276" w:lineRule="auto"/>
              <w:jc w:val="both"/>
              <w:rPr>
                <w:sz w:val="20"/>
                <w:szCs w:val="20"/>
                <w:lang w:val="en-GB"/>
              </w:rPr>
            </w:pPr>
            <w:r>
              <w:rPr>
                <w:sz w:val="20"/>
                <w:szCs w:val="20"/>
                <w:lang w:val="en-GB"/>
              </w:rPr>
              <w:t>On 10 July 2014, the European Commission has decided to refer France to the EU Court of Justice regarding its tax system for donations made to bodies pursuing general-interest objectives. France exempts donations and bequests to public or public-interest bodies, including charities, that exclusively allocate their resources to science, culture or art, from registration duties where these are established and carry out their activities in France. Such organisations having a registered office in another EU or EEA Member State only benefit from this exemption if France has concluded a reciprocity agreement with their country.</w:t>
            </w:r>
          </w:p>
          <w:p w:rsidR="000C350C" w:rsidRDefault="000C350C">
            <w:pPr>
              <w:spacing w:line="276" w:lineRule="auto"/>
              <w:jc w:val="both"/>
              <w:rPr>
                <w:sz w:val="20"/>
                <w:szCs w:val="20"/>
                <w:lang w:val="en-GB"/>
              </w:rPr>
            </w:pPr>
          </w:p>
          <w:p w:rsidR="000C350C" w:rsidRDefault="000C350C">
            <w:pPr>
              <w:spacing w:line="276" w:lineRule="auto"/>
              <w:ind w:left="709" w:hanging="283"/>
              <w:jc w:val="both"/>
              <w:rPr>
                <w:sz w:val="20"/>
                <w:szCs w:val="20"/>
                <w:lang w:val="pt-BR"/>
              </w:rPr>
            </w:pPr>
            <w:r>
              <w:rPr>
                <w:sz w:val="20"/>
                <w:szCs w:val="20"/>
                <w:lang w:val="pt-BR"/>
              </w:rPr>
              <w:t>-      </w:t>
            </w:r>
            <w:r>
              <w:fldChar w:fldCharType="begin"/>
            </w:r>
            <w:r w:rsidRPr="000C350C">
              <w:rPr>
                <w:lang w:val="en-GB"/>
              </w:rPr>
              <w:instrText xml:space="preserve"> HYPERLINK "http://europa.eu/rapid/press-release_IP-14-808_en.htm" </w:instrText>
            </w:r>
            <w:r>
              <w:fldChar w:fldCharType="separate"/>
            </w:r>
            <w:r>
              <w:rPr>
                <w:rStyle w:val="Hyperlink"/>
                <w:sz w:val="20"/>
                <w:szCs w:val="20"/>
                <w:lang w:val="pt-BR"/>
              </w:rPr>
              <w:t>Press release</w:t>
            </w:r>
            <w:r>
              <w:fldChar w:fldCharType="end"/>
            </w:r>
          </w:p>
          <w:p w:rsidR="000C350C" w:rsidRDefault="000C350C">
            <w:pPr>
              <w:spacing w:line="276" w:lineRule="auto"/>
              <w:ind w:left="709" w:hanging="283"/>
              <w:jc w:val="both"/>
              <w:rPr>
                <w:sz w:val="20"/>
                <w:szCs w:val="20"/>
                <w:lang w:val="en-US"/>
              </w:rPr>
            </w:pPr>
            <w:r>
              <w:rPr>
                <w:sz w:val="20"/>
                <w:szCs w:val="20"/>
                <w:lang w:val="en"/>
              </w:rPr>
              <w:t>-      </w:t>
            </w:r>
            <w:hyperlink r:id="rId11" w:history="1">
              <w:r>
                <w:rPr>
                  <w:rStyle w:val="Hyperlink"/>
                  <w:sz w:val="20"/>
                  <w:szCs w:val="20"/>
                  <w:lang w:val="en"/>
                </w:rPr>
                <w:t>July infringement package</w:t>
              </w:r>
            </w:hyperlink>
            <w:r>
              <w:rPr>
                <w:sz w:val="20"/>
                <w:szCs w:val="20"/>
                <w:lang w:val="en-US"/>
              </w:rPr>
              <w:t xml:space="preserve"> (including other tax infringement cases)</w:t>
            </w:r>
          </w:p>
          <w:p w:rsidR="000C350C" w:rsidRDefault="000C350C">
            <w:pPr>
              <w:spacing w:line="276" w:lineRule="auto"/>
              <w:jc w:val="both"/>
              <w:rPr>
                <w:b/>
                <w:bCs/>
                <w:color w:val="1F497D"/>
                <w:sz w:val="20"/>
                <w:szCs w:val="20"/>
                <w:lang w:val="en-US"/>
              </w:rPr>
            </w:pPr>
          </w:p>
          <w:p w:rsidR="000C350C" w:rsidRDefault="000C350C">
            <w:pPr>
              <w:spacing w:line="276" w:lineRule="auto"/>
              <w:jc w:val="both"/>
              <w:rPr>
                <w:b/>
                <w:bCs/>
                <w:color w:val="1F497D"/>
                <w:sz w:val="20"/>
                <w:szCs w:val="20"/>
                <w:lang w:val="en-US"/>
              </w:rPr>
            </w:pPr>
          </w:p>
          <w:p w:rsidR="000C350C" w:rsidRDefault="000C350C" w:rsidP="00622A87">
            <w:pPr>
              <w:pStyle w:val="Lijstalinea"/>
              <w:numPr>
                <w:ilvl w:val="0"/>
                <w:numId w:val="1"/>
              </w:numPr>
              <w:spacing w:line="276" w:lineRule="auto"/>
              <w:ind w:left="426" w:hanging="426"/>
              <w:rPr>
                <w:b/>
                <w:bCs/>
                <w:sz w:val="20"/>
                <w:szCs w:val="20"/>
                <w:lang w:val="en-GB" w:eastAsia="en-US"/>
              </w:rPr>
            </w:pPr>
            <w:r>
              <w:rPr>
                <w:b/>
                <w:bCs/>
                <w:sz w:val="20"/>
                <w:szCs w:val="20"/>
                <w:lang w:val="en-GB" w:eastAsia="en-US"/>
              </w:rPr>
              <w:t>Commission questions tax exemptions for Dutch public companies</w:t>
            </w:r>
          </w:p>
          <w:p w:rsidR="000C350C" w:rsidRDefault="000C350C">
            <w:pPr>
              <w:spacing w:line="276" w:lineRule="auto"/>
              <w:jc w:val="both"/>
              <w:rPr>
                <w:b/>
                <w:bCs/>
                <w:color w:val="1F497D"/>
                <w:sz w:val="20"/>
                <w:szCs w:val="20"/>
                <w:lang w:val="en"/>
              </w:rPr>
            </w:pPr>
          </w:p>
          <w:p w:rsidR="000C350C" w:rsidRDefault="000C350C">
            <w:pPr>
              <w:spacing w:line="276" w:lineRule="auto"/>
              <w:jc w:val="both"/>
              <w:rPr>
                <w:sz w:val="20"/>
                <w:szCs w:val="20"/>
                <w:lang w:val="en-GB"/>
              </w:rPr>
            </w:pPr>
            <w:r>
              <w:rPr>
                <w:sz w:val="20"/>
                <w:szCs w:val="20"/>
                <w:lang w:val="en"/>
              </w:rPr>
              <w:t>On 10 July 2014, t</w:t>
            </w:r>
            <w:r>
              <w:rPr>
                <w:sz w:val="20"/>
                <w:szCs w:val="20"/>
                <w:lang w:val="en-GB"/>
              </w:rPr>
              <w:t xml:space="preserve">he European Commission has opened an in-depth investigation to verify whether exemptions from corporate tax granted under Dutch law to public companies, including port operators, are in line with EU state aid rules. The Commission has concerns that exempting certain companies merely because they are publicly owned may give them an advantage over their competitors. The opening of an in-depth investigation gives interested parties an opportunity to submit comments on the measures under assessment; it does not prejudge the outcome. Separately, the Commission is also gathering </w:t>
            </w:r>
            <w:r>
              <w:rPr>
                <w:sz w:val="20"/>
                <w:szCs w:val="20"/>
                <w:lang w:val="en-GB"/>
              </w:rPr>
              <w:lastRenderedPageBreak/>
              <w:t>information on taxation of ports in other Member States. The Commission is also examining the tax regimes for ports in France, Belgium and Germany.</w:t>
            </w:r>
          </w:p>
          <w:p w:rsidR="000C350C" w:rsidRDefault="000C350C">
            <w:pPr>
              <w:spacing w:line="276" w:lineRule="auto"/>
              <w:jc w:val="both"/>
              <w:rPr>
                <w:sz w:val="20"/>
                <w:szCs w:val="20"/>
                <w:lang w:val="en"/>
              </w:rPr>
            </w:pPr>
          </w:p>
          <w:p w:rsidR="000C350C" w:rsidRDefault="000C350C" w:rsidP="00622A87">
            <w:pPr>
              <w:pStyle w:val="Lijstalinea"/>
              <w:numPr>
                <w:ilvl w:val="0"/>
                <w:numId w:val="2"/>
              </w:numPr>
              <w:spacing w:line="276" w:lineRule="auto"/>
              <w:jc w:val="both"/>
              <w:rPr>
                <w:sz w:val="20"/>
                <w:szCs w:val="20"/>
                <w:lang w:val="en" w:eastAsia="en-US"/>
              </w:rPr>
            </w:pPr>
            <w:hyperlink r:id="rId12" w:history="1">
              <w:r>
                <w:rPr>
                  <w:rStyle w:val="Hyperlink"/>
                  <w:sz w:val="20"/>
                  <w:szCs w:val="20"/>
                  <w:lang w:val="en-GB" w:eastAsia="en-US"/>
                </w:rPr>
                <w:t>Press release</w:t>
              </w:r>
            </w:hyperlink>
          </w:p>
          <w:p w:rsidR="000C350C" w:rsidRDefault="000C350C" w:rsidP="00622A87">
            <w:pPr>
              <w:pStyle w:val="Lijstalinea"/>
              <w:numPr>
                <w:ilvl w:val="0"/>
                <w:numId w:val="2"/>
              </w:numPr>
              <w:spacing w:line="276" w:lineRule="auto"/>
              <w:jc w:val="both"/>
              <w:rPr>
                <w:sz w:val="20"/>
                <w:szCs w:val="20"/>
                <w:lang w:val="en" w:eastAsia="en-US"/>
              </w:rPr>
            </w:pPr>
            <w:hyperlink r:id="rId13" w:history="1">
              <w:r>
                <w:rPr>
                  <w:rStyle w:val="Hyperlink"/>
                  <w:sz w:val="20"/>
                  <w:szCs w:val="20"/>
                  <w:lang w:val="en" w:eastAsia="en-US"/>
                </w:rPr>
                <w:t>July infringement package</w:t>
              </w:r>
            </w:hyperlink>
            <w:r>
              <w:rPr>
                <w:sz w:val="20"/>
                <w:szCs w:val="20"/>
                <w:lang w:val="en-US" w:eastAsia="en-US"/>
              </w:rPr>
              <w:t xml:space="preserve"> (including other tax infringement cases)</w:t>
            </w:r>
          </w:p>
          <w:p w:rsidR="000C350C" w:rsidRDefault="000C350C">
            <w:pPr>
              <w:spacing w:line="276" w:lineRule="auto"/>
              <w:jc w:val="both"/>
              <w:rPr>
                <w:b/>
                <w:bCs/>
                <w:color w:val="1F497D"/>
                <w:sz w:val="20"/>
                <w:szCs w:val="20"/>
                <w:lang w:val="en-US"/>
              </w:rPr>
            </w:pPr>
          </w:p>
          <w:p w:rsidR="000C350C" w:rsidRDefault="000C350C">
            <w:pPr>
              <w:spacing w:line="276" w:lineRule="auto"/>
              <w:jc w:val="both"/>
              <w:rPr>
                <w:b/>
                <w:bCs/>
                <w:color w:val="1F497D"/>
                <w:sz w:val="20"/>
                <w:szCs w:val="20"/>
                <w:lang w:val="en-US"/>
              </w:rPr>
            </w:pPr>
          </w:p>
          <w:p w:rsidR="000C350C" w:rsidRDefault="000C350C" w:rsidP="00622A87">
            <w:pPr>
              <w:pStyle w:val="Lijstalinea"/>
              <w:numPr>
                <w:ilvl w:val="0"/>
                <w:numId w:val="1"/>
              </w:numPr>
              <w:spacing w:line="276" w:lineRule="auto"/>
              <w:ind w:left="426" w:hanging="426"/>
              <w:rPr>
                <w:b/>
                <w:bCs/>
                <w:sz w:val="20"/>
                <w:szCs w:val="20"/>
                <w:lang w:val="en-GB" w:eastAsia="en-US"/>
              </w:rPr>
            </w:pPr>
            <w:r>
              <w:rPr>
                <w:b/>
                <w:bCs/>
                <w:sz w:val="20"/>
                <w:szCs w:val="20"/>
                <w:lang w:val="en-GB" w:eastAsia="en-US"/>
              </w:rPr>
              <w:t>Commission ask France to levy VAT on sport events</w:t>
            </w:r>
          </w:p>
          <w:p w:rsidR="000C350C" w:rsidRDefault="000C350C">
            <w:pPr>
              <w:spacing w:line="276" w:lineRule="auto"/>
              <w:jc w:val="both"/>
              <w:rPr>
                <w:color w:val="1F497D"/>
                <w:sz w:val="20"/>
                <w:szCs w:val="20"/>
                <w:lang w:val="en"/>
              </w:rPr>
            </w:pPr>
          </w:p>
          <w:p w:rsidR="000C350C" w:rsidRDefault="000C350C">
            <w:pPr>
              <w:spacing w:line="276" w:lineRule="auto"/>
              <w:jc w:val="both"/>
              <w:rPr>
                <w:color w:val="000000"/>
                <w:sz w:val="20"/>
                <w:szCs w:val="20"/>
                <w:shd w:val="clear" w:color="auto" w:fill="FFFFFF"/>
                <w:lang w:val="en-GB"/>
              </w:rPr>
            </w:pPr>
            <w:r>
              <w:rPr>
                <w:color w:val="000000"/>
                <w:sz w:val="20"/>
                <w:szCs w:val="20"/>
                <w:shd w:val="clear" w:color="auto" w:fill="FFFFFF"/>
                <w:lang w:val="en-GB"/>
              </w:rPr>
              <w:t>On 10 July 2014, the European Commission has asked France to levy VAT on tickets for admission to matches and other sport events which are not subject to entertainment tax. Under the VAT Directive, admission fees for sport events should normally be subject to VAT. France grants a total VAT exemption. As a transitional measure and by derogation from the VAT Directive, France has been allowed to maintain an exemption in the case where entertainment tax applies to such events. The conditions have however changed to the extent that France has allowed its municipalities to exempt sport events from entertainment tax. The Commission therefore takes the view that, in this case, the VAT exemption should no longer exist.</w:t>
            </w:r>
          </w:p>
          <w:p w:rsidR="000C350C" w:rsidRDefault="000C350C">
            <w:pPr>
              <w:spacing w:line="276" w:lineRule="auto"/>
              <w:jc w:val="both"/>
              <w:rPr>
                <w:color w:val="000000"/>
                <w:sz w:val="20"/>
                <w:szCs w:val="20"/>
                <w:shd w:val="clear" w:color="auto" w:fill="FFFFFF"/>
                <w:lang w:val="en-GB"/>
              </w:rPr>
            </w:pPr>
            <w:r>
              <w:rPr>
                <w:color w:val="000000"/>
                <w:sz w:val="20"/>
                <w:szCs w:val="20"/>
                <w:shd w:val="clear" w:color="auto" w:fill="FFFFFF"/>
                <w:lang w:val="en-GB"/>
              </w:rPr>
              <w:t>The request takes the form of a reasoned opinion, giving France two months to comply with the Commission´s request.</w:t>
            </w:r>
          </w:p>
          <w:p w:rsidR="000C350C" w:rsidRDefault="000C350C">
            <w:pPr>
              <w:spacing w:line="276" w:lineRule="auto"/>
              <w:jc w:val="both"/>
              <w:rPr>
                <w:sz w:val="20"/>
                <w:szCs w:val="20"/>
                <w:lang w:val="en"/>
              </w:rPr>
            </w:pPr>
          </w:p>
          <w:p w:rsidR="000C350C" w:rsidRDefault="000C350C" w:rsidP="00622A87">
            <w:pPr>
              <w:pStyle w:val="Lijstalinea"/>
              <w:numPr>
                <w:ilvl w:val="0"/>
                <w:numId w:val="2"/>
              </w:numPr>
              <w:spacing w:line="276" w:lineRule="auto"/>
              <w:jc w:val="both"/>
              <w:rPr>
                <w:color w:val="1F497D"/>
                <w:sz w:val="20"/>
                <w:szCs w:val="20"/>
                <w:lang w:val="en" w:eastAsia="en-US"/>
              </w:rPr>
            </w:pPr>
            <w:hyperlink r:id="rId14" w:history="1">
              <w:r>
                <w:rPr>
                  <w:rStyle w:val="Hyperlink"/>
                  <w:sz w:val="20"/>
                  <w:szCs w:val="20"/>
                  <w:lang w:val="en" w:eastAsia="en-US"/>
                </w:rPr>
                <w:t>July infringement package</w:t>
              </w:r>
            </w:hyperlink>
            <w:r>
              <w:rPr>
                <w:sz w:val="20"/>
                <w:szCs w:val="20"/>
                <w:lang w:val="en-US" w:eastAsia="en-US"/>
              </w:rPr>
              <w:t xml:space="preserve"> (including other tax infringement cases)</w:t>
            </w:r>
          </w:p>
          <w:p w:rsidR="000C350C" w:rsidRDefault="000C350C">
            <w:pPr>
              <w:spacing w:line="276" w:lineRule="auto"/>
              <w:ind w:left="1068"/>
              <w:rPr>
                <w:color w:val="1F497D"/>
                <w:sz w:val="20"/>
                <w:szCs w:val="20"/>
                <w:lang w:val="en"/>
              </w:rPr>
            </w:pPr>
          </w:p>
          <w:p w:rsidR="000C350C" w:rsidRDefault="000C350C">
            <w:pPr>
              <w:spacing w:line="276" w:lineRule="auto"/>
              <w:ind w:left="1068"/>
              <w:rPr>
                <w:color w:val="1F497D"/>
                <w:sz w:val="20"/>
                <w:szCs w:val="20"/>
                <w:lang w:val="en"/>
              </w:rPr>
            </w:pPr>
          </w:p>
          <w:p w:rsidR="000C350C" w:rsidRDefault="000C350C" w:rsidP="00622A87">
            <w:pPr>
              <w:pStyle w:val="Lijstalinea"/>
              <w:numPr>
                <w:ilvl w:val="0"/>
                <w:numId w:val="1"/>
              </w:numPr>
              <w:spacing w:line="276" w:lineRule="auto"/>
              <w:ind w:left="426" w:hanging="426"/>
              <w:jc w:val="both"/>
              <w:rPr>
                <w:b/>
                <w:bCs/>
                <w:sz w:val="20"/>
                <w:szCs w:val="20"/>
                <w:lang w:val="en" w:eastAsia="en-US"/>
              </w:rPr>
            </w:pPr>
            <w:r>
              <w:rPr>
                <w:b/>
                <w:bCs/>
                <w:sz w:val="20"/>
                <w:szCs w:val="20"/>
                <w:lang w:val="en" w:eastAsia="en-US"/>
              </w:rPr>
              <w:t xml:space="preserve">EP Committees vote their chairs / </w:t>
            </w:r>
            <w:proofErr w:type="spellStart"/>
            <w:r>
              <w:rPr>
                <w:b/>
                <w:bCs/>
                <w:sz w:val="20"/>
                <w:szCs w:val="20"/>
                <w:lang w:val="en" w:eastAsia="en-US"/>
              </w:rPr>
              <w:t>Juncker</w:t>
            </w:r>
            <w:proofErr w:type="spellEnd"/>
            <w:r>
              <w:rPr>
                <w:b/>
                <w:bCs/>
                <w:sz w:val="20"/>
                <w:szCs w:val="20"/>
                <w:lang w:val="en" w:eastAsia="en-US"/>
              </w:rPr>
              <w:t xml:space="preserve"> reported to be in </w:t>
            </w:r>
            <w:proofErr w:type="spellStart"/>
            <w:r>
              <w:rPr>
                <w:b/>
                <w:bCs/>
                <w:sz w:val="20"/>
                <w:szCs w:val="20"/>
                <w:lang w:val="en" w:eastAsia="en-US"/>
              </w:rPr>
              <w:t>favour</w:t>
            </w:r>
            <w:proofErr w:type="spellEnd"/>
            <w:r>
              <w:rPr>
                <w:b/>
                <w:bCs/>
                <w:sz w:val="20"/>
                <w:szCs w:val="20"/>
                <w:lang w:val="en" w:eastAsia="en-US"/>
              </w:rPr>
              <w:t xml:space="preserve"> of CCCTB and EU tax</w:t>
            </w:r>
          </w:p>
          <w:p w:rsidR="000C350C" w:rsidRDefault="000C350C">
            <w:pPr>
              <w:spacing w:line="276" w:lineRule="auto"/>
              <w:jc w:val="both"/>
              <w:rPr>
                <w:b/>
                <w:bCs/>
                <w:color w:val="1F497D"/>
                <w:sz w:val="20"/>
                <w:szCs w:val="20"/>
                <w:lang w:val="en"/>
              </w:rPr>
            </w:pPr>
          </w:p>
          <w:p w:rsidR="000C350C" w:rsidRDefault="000C350C">
            <w:pPr>
              <w:spacing w:line="276" w:lineRule="auto"/>
              <w:jc w:val="both"/>
              <w:rPr>
                <w:sz w:val="20"/>
                <w:szCs w:val="20"/>
                <w:lang w:val="en"/>
              </w:rPr>
            </w:pPr>
            <w:r>
              <w:rPr>
                <w:sz w:val="20"/>
                <w:szCs w:val="20"/>
                <w:lang w:val="en"/>
              </w:rPr>
              <w:t xml:space="preserve">The new European Parliament Committees have met on 7 July 2014 and elected their chairs. Roberto </w:t>
            </w:r>
            <w:proofErr w:type="spellStart"/>
            <w:r>
              <w:rPr>
                <w:sz w:val="20"/>
                <w:szCs w:val="20"/>
                <w:lang w:val="en"/>
              </w:rPr>
              <w:t>Gualtieri</w:t>
            </w:r>
            <w:proofErr w:type="spellEnd"/>
            <w:r>
              <w:rPr>
                <w:sz w:val="20"/>
                <w:szCs w:val="20"/>
                <w:lang w:val="en"/>
              </w:rPr>
              <w:t xml:space="preserve"> (Italian Social Democrats) will chair the Economic and Monetary Affairs Committee (ECON) and Vicky Ford (UK Conservatives) the Internal Market and Consumer Protection Committee (IMCO). The Legal Affairs (JURI) and Civil Liberties, Justice and Home Affairs (LIBE) Committees will be chaired by Pavel Svoboda (Czech Christian Democrats) and Claude </w:t>
            </w:r>
            <w:proofErr w:type="spellStart"/>
            <w:r>
              <w:rPr>
                <w:sz w:val="20"/>
                <w:szCs w:val="20"/>
                <w:lang w:val="en"/>
              </w:rPr>
              <w:t>Moraes</w:t>
            </w:r>
            <w:proofErr w:type="spellEnd"/>
            <w:r>
              <w:rPr>
                <w:sz w:val="20"/>
                <w:szCs w:val="20"/>
                <w:lang w:val="en"/>
              </w:rPr>
              <w:t xml:space="preserve"> (UK </w:t>
            </w:r>
            <w:proofErr w:type="spellStart"/>
            <w:r>
              <w:rPr>
                <w:sz w:val="20"/>
                <w:szCs w:val="20"/>
                <w:lang w:val="en"/>
              </w:rPr>
              <w:t>Labour</w:t>
            </w:r>
            <w:proofErr w:type="spellEnd"/>
            <w:r>
              <w:rPr>
                <w:sz w:val="20"/>
                <w:szCs w:val="20"/>
                <w:lang w:val="en"/>
              </w:rPr>
              <w:t xml:space="preserve"> Party) respectively.</w:t>
            </w:r>
          </w:p>
          <w:p w:rsidR="000C350C" w:rsidRDefault="000C350C">
            <w:pPr>
              <w:spacing w:line="276" w:lineRule="auto"/>
              <w:jc w:val="both"/>
              <w:rPr>
                <w:sz w:val="20"/>
                <w:szCs w:val="20"/>
                <w:lang w:val="en"/>
              </w:rPr>
            </w:pPr>
            <w:r>
              <w:rPr>
                <w:sz w:val="20"/>
                <w:szCs w:val="20"/>
                <w:lang w:val="en"/>
              </w:rPr>
              <w:t xml:space="preserve">According to press reports, Jean-Claude </w:t>
            </w:r>
            <w:proofErr w:type="spellStart"/>
            <w:r>
              <w:rPr>
                <w:sz w:val="20"/>
                <w:szCs w:val="20"/>
                <w:lang w:val="en"/>
              </w:rPr>
              <w:t>Juncker</w:t>
            </w:r>
            <w:proofErr w:type="spellEnd"/>
            <w:r>
              <w:rPr>
                <w:sz w:val="20"/>
                <w:szCs w:val="20"/>
                <w:lang w:val="en"/>
              </w:rPr>
              <w:t>, who still needs to be approved by the Parliament as Commission president, has made concessions to different EP groups. To ALDE (Liberals), he expressed his support for a CCCTB and an own source of tax revenue for the EU.</w:t>
            </w:r>
          </w:p>
          <w:p w:rsidR="000C350C" w:rsidRDefault="000C350C">
            <w:pPr>
              <w:spacing w:line="276" w:lineRule="auto"/>
              <w:jc w:val="both"/>
              <w:rPr>
                <w:sz w:val="20"/>
                <w:szCs w:val="20"/>
                <w:lang w:val="en"/>
              </w:rPr>
            </w:pPr>
          </w:p>
          <w:p w:rsidR="000C350C" w:rsidRDefault="000C350C" w:rsidP="00622A87">
            <w:pPr>
              <w:pStyle w:val="Lijstalinea"/>
              <w:numPr>
                <w:ilvl w:val="0"/>
                <w:numId w:val="2"/>
              </w:numPr>
              <w:spacing w:line="276" w:lineRule="auto"/>
              <w:jc w:val="both"/>
              <w:rPr>
                <w:sz w:val="20"/>
                <w:szCs w:val="20"/>
                <w:lang w:val="en" w:eastAsia="en-US"/>
              </w:rPr>
            </w:pPr>
            <w:hyperlink r:id="rId15" w:anchor="menuzone" w:history="1">
              <w:r>
                <w:rPr>
                  <w:rStyle w:val="Hyperlink"/>
                  <w:sz w:val="20"/>
                  <w:szCs w:val="20"/>
                  <w:lang w:val="en" w:eastAsia="en-US"/>
                </w:rPr>
                <w:t>ECON members</w:t>
              </w:r>
            </w:hyperlink>
          </w:p>
          <w:p w:rsidR="000C350C" w:rsidRDefault="000C350C" w:rsidP="00622A87">
            <w:pPr>
              <w:pStyle w:val="Lijstalinea"/>
              <w:numPr>
                <w:ilvl w:val="0"/>
                <w:numId w:val="2"/>
              </w:numPr>
              <w:spacing w:line="276" w:lineRule="auto"/>
              <w:jc w:val="both"/>
              <w:rPr>
                <w:sz w:val="20"/>
                <w:szCs w:val="20"/>
                <w:lang w:val="en" w:eastAsia="en-US"/>
              </w:rPr>
            </w:pPr>
            <w:hyperlink r:id="rId16" w:anchor="menuzone" w:history="1">
              <w:r>
                <w:rPr>
                  <w:rStyle w:val="Hyperlink"/>
                  <w:sz w:val="20"/>
                  <w:szCs w:val="20"/>
                  <w:lang w:val="en" w:eastAsia="en-US"/>
                </w:rPr>
                <w:t>IMCO members</w:t>
              </w:r>
            </w:hyperlink>
          </w:p>
          <w:p w:rsidR="000C350C" w:rsidRDefault="000C350C" w:rsidP="00622A87">
            <w:pPr>
              <w:pStyle w:val="Lijstalinea"/>
              <w:numPr>
                <w:ilvl w:val="0"/>
                <w:numId w:val="2"/>
              </w:numPr>
              <w:spacing w:line="276" w:lineRule="auto"/>
              <w:jc w:val="both"/>
              <w:rPr>
                <w:sz w:val="20"/>
                <w:szCs w:val="20"/>
                <w:lang w:val="en" w:eastAsia="en-US"/>
              </w:rPr>
            </w:pPr>
            <w:hyperlink r:id="rId17" w:anchor="menuzone" w:history="1">
              <w:r>
                <w:rPr>
                  <w:rStyle w:val="Hyperlink"/>
                  <w:sz w:val="20"/>
                  <w:szCs w:val="20"/>
                  <w:lang w:val="en" w:eastAsia="en-US"/>
                </w:rPr>
                <w:t>JURI members</w:t>
              </w:r>
            </w:hyperlink>
          </w:p>
          <w:p w:rsidR="000C350C" w:rsidRDefault="000C350C" w:rsidP="00622A87">
            <w:pPr>
              <w:pStyle w:val="Lijstalinea"/>
              <w:numPr>
                <w:ilvl w:val="0"/>
                <w:numId w:val="2"/>
              </w:numPr>
              <w:spacing w:line="276" w:lineRule="auto"/>
              <w:jc w:val="both"/>
              <w:rPr>
                <w:sz w:val="20"/>
                <w:szCs w:val="20"/>
                <w:lang w:val="en" w:eastAsia="en-US"/>
              </w:rPr>
            </w:pPr>
            <w:hyperlink r:id="rId18" w:anchor="menuzone" w:history="1">
              <w:r>
                <w:rPr>
                  <w:rStyle w:val="Hyperlink"/>
                  <w:sz w:val="20"/>
                  <w:szCs w:val="20"/>
                  <w:lang w:val="en" w:eastAsia="en-US"/>
                </w:rPr>
                <w:t>LIBE members</w:t>
              </w:r>
            </w:hyperlink>
          </w:p>
          <w:p w:rsidR="000C350C" w:rsidRDefault="000C350C">
            <w:pPr>
              <w:spacing w:line="276" w:lineRule="auto"/>
              <w:jc w:val="both"/>
              <w:rPr>
                <w:sz w:val="20"/>
                <w:szCs w:val="20"/>
                <w:lang w:val="en"/>
              </w:rPr>
            </w:pPr>
          </w:p>
          <w:p w:rsidR="000C350C" w:rsidRDefault="000C350C">
            <w:pPr>
              <w:spacing w:line="276" w:lineRule="auto"/>
              <w:jc w:val="both"/>
              <w:rPr>
                <w:b/>
                <w:bCs/>
                <w:color w:val="1F497D"/>
                <w:sz w:val="20"/>
                <w:szCs w:val="20"/>
                <w:lang w:val="en"/>
              </w:rPr>
            </w:pPr>
          </w:p>
          <w:p w:rsidR="000C350C" w:rsidRDefault="000C350C" w:rsidP="00622A87">
            <w:pPr>
              <w:pStyle w:val="Lijstalinea"/>
              <w:numPr>
                <w:ilvl w:val="0"/>
                <w:numId w:val="1"/>
              </w:numPr>
              <w:spacing w:line="276" w:lineRule="auto"/>
              <w:ind w:left="426" w:hanging="426"/>
              <w:rPr>
                <w:b/>
                <w:bCs/>
                <w:sz w:val="20"/>
                <w:szCs w:val="20"/>
                <w:lang w:val="en-GB" w:eastAsia="en-US"/>
              </w:rPr>
            </w:pPr>
            <w:r>
              <w:rPr>
                <w:b/>
                <w:bCs/>
                <w:sz w:val="20"/>
                <w:szCs w:val="20"/>
                <w:lang w:val="en-GB" w:eastAsia="en-US"/>
              </w:rPr>
              <w:t>Additional VAT Mini One Stop Shop Guidelines available in 24 languages</w:t>
            </w:r>
          </w:p>
          <w:p w:rsidR="000C350C" w:rsidRDefault="000C350C">
            <w:pPr>
              <w:spacing w:line="276" w:lineRule="auto"/>
              <w:jc w:val="both"/>
              <w:rPr>
                <w:b/>
                <w:bCs/>
                <w:color w:val="1F497D"/>
                <w:sz w:val="20"/>
                <w:szCs w:val="20"/>
                <w:lang w:val="en"/>
              </w:rPr>
            </w:pPr>
          </w:p>
          <w:p w:rsidR="000C350C" w:rsidRDefault="000C350C">
            <w:pPr>
              <w:spacing w:line="276" w:lineRule="auto"/>
              <w:jc w:val="both"/>
              <w:rPr>
                <w:sz w:val="20"/>
                <w:szCs w:val="20"/>
                <w:lang w:val="en"/>
              </w:rPr>
            </w:pPr>
            <w:r>
              <w:rPr>
                <w:sz w:val="20"/>
                <w:szCs w:val="20"/>
                <w:lang w:val="en"/>
              </w:rPr>
              <w:t>The additional guidelines for the VAT mini one stop shop for e-services, telecom and broadcasting published by the European Commission on 19 June 2014 have now been made available in all 24 EU languages. The mini one stop shop rules will apply as of 2015.</w:t>
            </w:r>
          </w:p>
          <w:p w:rsidR="000C350C" w:rsidRDefault="000C350C">
            <w:pPr>
              <w:spacing w:line="276" w:lineRule="auto"/>
              <w:jc w:val="both"/>
              <w:rPr>
                <w:b/>
                <w:bCs/>
                <w:color w:val="1F497D"/>
                <w:sz w:val="20"/>
                <w:szCs w:val="20"/>
                <w:lang w:val="en"/>
              </w:rPr>
            </w:pPr>
          </w:p>
          <w:p w:rsidR="000C350C" w:rsidRDefault="000C350C" w:rsidP="00622A87">
            <w:pPr>
              <w:pStyle w:val="Lijstalinea"/>
              <w:numPr>
                <w:ilvl w:val="0"/>
                <w:numId w:val="2"/>
              </w:numPr>
              <w:spacing w:line="276" w:lineRule="auto"/>
              <w:jc w:val="both"/>
              <w:rPr>
                <w:rStyle w:val="Hyperlink"/>
              </w:rPr>
            </w:pPr>
            <w:hyperlink r:id="rId19" w:history="1">
              <w:r>
                <w:rPr>
                  <w:rStyle w:val="Hyperlink"/>
                  <w:sz w:val="20"/>
                  <w:szCs w:val="20"/>
                  <w:lang w:val="en" w:eastAsia="en-US"/>
                </w:rPr>
                <w:t xml:space="preserve">Additional guidelines: all language versions </w:t>
              </w:r>
            </w:hyperlink>
          </w:p>
          <w:p w:rsidR="000C350C" w:rsidRDefault="000C350C">
            <w:pPr>
              <w:spacing w:line="276" w:lineRule="auto"/>
              <w:jc w:val="both"/>
              <w:rPr>
                <w:b/>
                <w:bCs/>
                <w:color w:val="1F497D"/>
              </w:rPr>
            </w:pPr>
            <w:r>
              <w:rPr>
                <w:b/>
                <w:bCs/>
                <w:color w:val="1F497D"/>
                <w:sz w:val="20"/>
                <w:szCs w:val="20"/>
              </w:rPr>
              <w:t> </w:t>
            </w:r>
          </w:p>
          <w:p w:rsidR="000C350C" w:rsidRDefault="000C350C">
            <w:pPr>
              <w:spacing w:line="276" w:lineRule="auto"/>
              <w:jc w:val="both"/>
              <w:rPr>
                <w:b/>
                <w:bCs/>
                <w:color w:val="1F497D"/>
                <w:sz w:val="20"/>
                <w:szCs w:val="20"/>
                <w:lang w:val="en"/>
              </w:rPr>
            </w:pPr>
          </w:p>
          <w:p w:rsidR="000C350C" w:rsidRDefault="000C350C" w:rsidP="00622A87">
            <w:pPr>
              <w:numPr>
                <w:ilvl w:val="0"/>
                <w:numId w:val="1"/>
              </w:numPr>
              <w:spacing w:line="276" w:lineRule="auto"/>
              <w:ind w:left="426" w:hanging="426"/>
              <w:jc w:val="both"/>
              <w:rPr>
                <w:b/>
                <w:bCs/>
                <w:sz w:val="20"/>
                <w:szCs w:val="20"/>
                <w:lang w:val="en"/>
              </w:rPr>
            </w:pPr>
            <w:r>
              <w:rPr>
                <w:b/>
                <w:bCs/>
                <w:sz w:val="20"/>
                <w:szCs w:val="20"/>
                <w:lang w:val="en"/>
              </w:rPr>
              <w:t>Council formally adopts revised Parent-Subsidiary Directive</w:t>
            </w:r>
          </w:p>
          <w:p w:rsidR="000C350C" w:rsidRDefault="000C350C">
            <w:pPr>
              <w:spacing w:line="276" w:lineRule="auto"/>
              <w:ind w:left="360"/>
              <w:jc w:val="both"/>
              <w:rPr>
                <w:sz w:val="20"/>
                <w:szCs w:val="20"/>
                <w:lang w:val="en"/>
              </w:rPr>
            </w:pPr>
          </w:p>
          <w:p w:rsidR="000C350C" w:rsidRDefault="000C350C">
            <w:pPr>
              <w:spacing w:line="276" w:lineRule="auto"/>
              <w:jc w:val="both"/>
              <w:rPr>
                <w:sz w:val="20"/>
                <w:szCs w:val="20"/>
                <w:lang w:val="en"/>
              </w:rPr>
            </w:pPr>
            <w:r>
              <w:rPr>
                <w:sz w:val="20"/>
                <w:szCs w:val="20"/>
                <w:lang w:val="en"/>
              </w:rPr>
              <w:t xml:space="preserve">On 8 July 2014, the EU </w:t>
            </w:r>
            <w:proofErr w:type="spellStart"/>
            <w:r>
              <w:rPr>
                <w:sz w:val="20"/>
                <w:szCs w:val="20"/>
                <w:lang w:val="en"/>
              </w:rPr>
              <w:t>Ecofin</w:t>
            </w:r>
            <w:proofErr w:type="spellEnd"/>
            <w:r>
              <w:rPr>
                <w:sz w:val="20"/>
                <w:szCs w:val="20"/>
                <w:lang w:val="en"/>
              </w:rPr>
              <w:t xml:space="preserve"> Council formally adopted the amendment the EU Parent-Subsidiary Directive introducing a subject to tax clause. Political agreement on this issue had been reached on 20 June.</w:t>
            </w:r>
          </w:p>
          <w:p w:rsidR="000C350C" w:rsidRDefault="000C350C">
            <w:pPr>
              <w:spacing w:line="276" w:lineRule="auto"/>
              <w:ind w:left="360"/>
              <w:jc w:val="both"/>
              <w:rPr>
                <w:sz w:val="20"/>
                <w:szCs w:val="20"/>
                <w:lang w:val="en"/>
              </w:rPr>
            </w:pPr>
          </w:p>
          <w:p w:rsidR="000C350C" w:rsidRDefault="000C350C" w:rsidP="00622A87">
            <w:pPr>
              <w:pStyle w:val="Lijstalinea"/>
              <w:numPr>
                <w:ilvl w:val="0"/>
                <w:numId w:val="2"/>
              </w:numPr>
              <w:spacing w:line="276" w:lineRule="auto"/>
              <w:rPr>
                <w:color w:val="1F497D"/>
                <w:sz w:val="20"/>
                <w:szCs w:val="20"/>
                <w:lang w:val="en" w:eastAsia="en-US"/>
              </w:rPr>
            </w:pPr>
            <w:hyperlink r:id="rId20" w:history="1">
              <w:r>
                <w:rPr>
                  <w:rStyle w:val="Hyperlink"/>
                  <w:sz w:val="20"/>
                  <w:szCs w:val="20"/>
                  <w:lang w:val="en" w:eastAsia="en-US"/>
                </w:rPr>
                <w:t>Council press release</w:t>
              </w:r>
            </w:hyperlink>
          </w:p>
          <w:p w:rsidR="000C350C" w:rsidRDefault="000C350C" w:rsidP="00622A87">
            <w:pPr>
              <w:pStyle w:val="Lijstalinea"/>
              <w:numPr>
                <w:ilvl w:val="0"/>
                <w:numId w:val="2"/>
              </w:numPr>
              <w:spacing w:line="276" w:lineRule="auto"/>
              <w:rPr>
                <w:color w:val="1F497D"/>
                <w:sz w:val="20"/>
                <w:szCs w:val="20"/>
                <w:lang w:val="en" w:eastAsia="en-US"/>
              </w:rPr>
            </w:pPr>
            <w:hyperlink r:id="rId21" w:history="1">
              <w:r>
                <w:rPr>
                  <w:rStyle w:val="Hyperlink"/>
                  <w:sz w:val="20"/>
                  <w:szCs w:val="20"/>
                  <w:lang w:val="en-GB" w:eastAsia="en-US"/>
                </w:rPr>
                <w:t>Explanation and text of the PSD amendment</w:t>
              </w:r>
            </w:hyperlink>
          </w:p>
          <w:p w:rsidR="000C350C" w:rsidRDefault="000C350C">
            <w:pPr>
              <w:spacing w:line="276" w:lineRule="auto"/>
              <w:jc w:val="both"/>
              <w:rPr>
                <w:sz w:val="20"/>
                <w:szCs w:val="20"/>
                <w:lang w:val="en"/>
              </w:rPr>
            </w:pPr>
          </w:p>
          <w:p w:rsidR="000C350C" w:rsidRDefault="000C350C">
            <w:pPr>
              <w:pStyle w:val="Lijstalinea"/>
              <w:spacing w:line="276" w:lineRule="auto"/>
              <w:ind w:left="1080"/>
              <w:jc w:val="both"/>
              <w:rPr>
                <w:sz w:val="20"/>
                <w:szCs w:val="20"/>
                <w:lang w:val="en" w:eastAsia="en-US"/>
              </w:rPr>
            </w:pPr>
          </w:p>
          <w:p w:rsidR="000C350C" w:rsidRDefault="000C350C">
            <w:pPr>
              <w:spacing w:line="276" w:lineRule="auto"/>
              <w:jc w:val="center"/>
              <w:rPr>
                <w:sz w:val="20"/>
                <w:szCs w:val="20"/>
                <w:lang w:val="en-GB"/>
              </w:rPr>
            </w:pPr>
            <w:r>
              <w:rPr>
                <w:sz w:val="20"/>
                <w:szCs w:val="20"/>
                <w:lang w:val="en-GB"/>
              </w:rPr>
              <w:t>*****</w:t>
            </w:r>
          </w:p>
          <w:p w:rsidR="000C350C" w:rsidRDefault="000C350C">
            <w:pPr>
              <w:spacing w:line="276" w:lineRule="auto"/>
              <w:jc w:val="both"/>
              <w:rPr>
                <w:sz w:val="20"/>
                <w:szCs w:val="20"/>
                <w:lang w:val="en-GB"/>
              </w:rPr>
            </w:pPr>
          </w:p>
          <w:p w:rsidR="000C350C" w:rsidRDefault="000C350C">
            <w:pPr>
              <w:pStyle w:val="Lijstalinea"/>
              <w:spacing w:line="276" w:lineRule="auto"/>
              <w:ind w:left="126"/>
              <w:jc w:val="center"/>
              <w:rPr>
                <w:i/>
                <w:iCs/>
                <w:sz w:val="20"/>
                <w:szCs w:val="20"/>
                <w:lang w:val="en-GB" w:eastAsia="en-US"/>
              </w:rPr>
            </w:pPr>
            <w:r>
              <w:rPr>
                <w:i/>
                <w:iCs/>
                <w:sz w:val="20"/>
                <w:szCs w:val="20"/>
                <w:lang w:val="en-GB" w:eastAsia="en-US"/>
              </w:rPr>
              <w:t xml:space="preserve">The selection of the remitted material has been prepared by </w:t>
            </w:r>
            <w:proofErr w:type="spellStart"/>
            <w:r>
              <w:rPr>
                <w:i/>
                <w:iCs/>
                <w:sz w:val="20"/>
                <w:szCs w:val="20"/>
                <w:lang w:val="en-GB" w:eastAsia="en-US"/>
              </w:rPr>
              <w:t>Piergiorgio</w:t>
            </w:r>
            <w:proofErr w:type="spellEnd"/>
            <w:r>
              <w:rPr>
                <w:i/>
                <w:iCs/>
                <w:sz w:val="20"/>
                <w:szCs w:val="20"/>
                <w:lang w:val="en-GB" w:eastAsia="en-US"/>
              </w:rPr>
              <w:t xml:space="preserve"> Valente / </w:t>
            </w:r>
            <w:proofErr w:type="spellStart"/>
            <w:r>
              <w:rPr>
                <w:i/>
                <w:iCs/>
                <w:sz w:val="20"/>
                <w:szCs w:val="20"/>
                <w:lang w:val="en-GB" w:eastAsia="en-US"/>
              </w:rPr>
              <w:t>Filipa</w:t>
            </w:r>
            <w:proofErr w:type="spellEnd"/>
            <w:r>
              <w:rPr>
                <w:i/>
                <w:iCs/>
                <w:sz w:val="20"/>
                <w:szCs w:val="20"/>
                <w:lang w:val="en-GB" w:eastAsia="en-US"/>
              </w:rPr>
              <w:t xml:space="preserve"> </w:t>
            </w:r>
            <w:proofErr w:type="spellStart"/>
            <w:r>
              <w:rPr>
                <w:i/>
                <w:iCs/>
                <w:sz w:val="20"/>
                <w:szCs w:val="20"/>
                <w:lang w:val="en-GB" w:eastAsia="en-US"/>
              </w:rPr>
              <w:t>Correia</w:t>
            </w:r>
            <w:proofErr w:type="spellEnd"/>
            <w:r>
              <w:rPr>
                <w:i/>
                <w:iCs/>
                <w:sz w:val="20"/>
                <w:szCs w:val="20"/>
                <w:lang w:val="en-GB" w:eastAsia="en-US"/>
              </w:rPr>
              <w:t xml:space="preserve"> / Rudolf </w:t>
            </w:r>
            <w:proofErr w:type="spellStart"/>
            <w:r>
              <w:rPr>
                <w:i/>
                <w:iCs/>
                <w:sz w:val="20"/>
                <w:szCs w:val="20"/>
                <w:lang w:val="en-GB" w:eastAsia="en-US"/>
              </w:rPr>
              <w:t>Reibel</w:t>
            </w:r>
            <w:proofErr w:type="spellEnd"/>
          </w:p>
          <w:p w:rsidR="000C350C" w:rsidRDefault="000C350C">
            <w:pPr>
              <w:pStyle w:val="Lijstalinea"/>
              <w:spacing w:line="276" w:lineRule="auto"/>
              <w:ind w:left="126"/>
              <w:jc w:val="center"/>
              <w:rPr>
                <w:i/>
                <w:iCs/>
                <w:sz w:val="20"/>
                <w:szCs w:val="20"/>
                <w:lang w:val="en-GB" w:eastAsia="en-US"/>
              </w:rPr>
            </w:pPr>
          </w:p>
          <w:p w:rsidR="000C350C" w:rsidRDefault="000C350C">
            <w:pPr>
              <w:pStyle w:val="Lijstalinea"/>
              <w:spacing w:line="276" w:lineRule="auto"/>
              <w:ind w:left="126"/>
              <w:jc w:val="center"/>
              <w:rPr>
                <w:rStyle w:val="Hyperlink"/>
                <w:lang w:val="en-US"/>
              </w:rPr>
            </w:pPr>
            <w:hyperlink r:id="rId22" w:history="1">
              <w:r>
                <w:rPr>
                  <w:rStyle w:val="Hyperlink"/>
                  <w:i/>
                  <w:iCs/>
                  <w:sz w:val="20"/>
                  <w:szCs w:val="20"/>
                  <w:lang w:val="en-GB" w:eastAsia="en-US"/>
                </w:rPr>
                <w:t>www.cfe-eutax.org</w:t>
              </w:r>
            </w:hyperlink>
          </w:p>
          <w:p w:rsidR="000C350C" w:rsidRDefault="000C350C">
            <w:pPr>
              <w:pStyle w:val="Lijstalinea"/>
              <w:spacing w:line="276" w:lineRule="auto"/>
              <w:ind w:left="126"/>
              <w:jc w:val="center"/>
              <w:rPr>
                <w:rStyle w:val="Hyperlink"/>
                <w:i/>
                <w:iCs/>
                <w:sz w:val="20"/>
                <w:szCs w:val="20"/>
                <w:lang w:val="en-GB" w:eastAsia="en-US"/>
              </w:rPr>
            </w:pPr>
          </w:p>
          <w:p w:rsidR="000C350C" w:rsidRDefault="000C350C">
            <w:pPr>
              <w:pStyle w:val="Lijstalinea"/>
              <w:spacing w:line="276" w:lineRule="auto"/>
              <w:ind w:left="126"/>
              <w:jc w:val="center"/>
              <w:rPr>
                <w:lang w:val="en-US"/>
              </w:rPr>
            </w:pPr>
            <w:r>
              <w:rPr>
                <w:i/>
                <w:iCs/>
                <w:sz w:val="20"/>
                <w:szCs w:val="20"/>
                <w:lang w:val="en-US" w:eastAsia="en-US"/>
              </w:rPr>
              <w:t xml:space="preserve">Follow us on </w:t>
            </w:r>
            <w:hyperlink r:id="rId23" w:history="1">
              <w:r>
                <w:rPr>
                  <w:rStyle w:val="Hyperlink"/>
                  <w:sz w:val="20"/>
                  <w:szCs w:val="20"/>
                  <w:lang w:val="en-US" w:eastAsia="en-US"/>
                </w:rPr>
                <w:t>Linked in</w:t>
              </w:r>
            </w:hyperlink>
            <w:r w:rsidRPr="000C350C">
              <w:rPr>
                <w:sz w:val="20"/>
                <w:szCs w:val="20"/>
                <w:lang w:val="en-GB" w:eastAsia="en-US"/>
              </w:rPr>
              <w:t xml:space="preserve"> </w:t>
            </w:r>
            <w:r>
              <w:rPr>
                <w:noProof/>
                <w:sz w:val="20"/>
                <w:szCs w:val="20"/>
              </w:rPr>
              <w:drawing>
                <wp:inline distT="0" distB="0" distL="0" distR="0">
                  <wp:extent cx="196215" cy="196215"/>
                  <wp:effectExtent l="0" t="0" r="0" b="0"/>
                  <wp:docPr id="1" name="Afbeelding 1" descr="cid:image002.png@01CF99DB.C42B66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png@01CF99DB.C42B66E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i/>
                <w:iCs/>
                <w:sz w:val="20"/>
                <w:szCs w:val="20"/>
                <w:lang w:val="en-US" w:eastAsia="en-US"/>
              </w:rPr>
              <w:t>  </w:t>
            </w:r>
          </w:p>
        </w:tc>
      </w:tr>
      <w:tr w:rsidR="000C350C" w:rsidRPr="000C350C" w:rsidTr="000C350C">
        <w:trPr>
          <w:tblCellSpacing w:w="0" w:type="dxa"/>
        </w:trPr>
        <w:tc>
          <w:tcPr>
            <w:tcW w:w="8154" w:type="dxa"/>
            <w:tcBorders>
              <w:top w:val="nil"/>
              <w:left w:val="nil"/>
              <w:bottom w:val="nil"/>
              <w:right w:val="nil"/>
            </w:tcBorders>
            <w:vAlign w:val="center"/>
            <w:hideMark/>
          </w:tcPr>
          <w:tbl>
            <w:tblPr>
              <w:tblW w:w="0" w:type="auto"/>
              <w:tblCellSpacing w:w="0" w:type="dxa"/>
              <w:tblCellMar>
                <w:left w:w="0" w:type="dxa"/>
                <w:right w:w="0" w:type="dxa"/>
              </w:tblCellMar>
              <w:tblLook w:val="04A0" w:firstRow="1" w:lastRow="0" w:firstColumn="1" w:lastColumn="0" w:noHBand="0" w:noVBand="1"/>
            </w:tblPr>
            <w:tblGrid>
              <w:gridCol w:w="50"/>
            </w:tblGrid>
            <w:tr w:rsidR="000C350C" w:rsidRPr="000C350C">
              <w:trPr>
                <w:tblCellSpacing w:w="0" w:type="dxa"/>
              </w:trPr>
              <w:tc>
                <w:tcPr>
                  <w:tcW w:w="0" w:type="auto"/>
                  <w:vAlign w:val="center"/>
                  <w:hideMark/>
                </w:tcPr>
                <w:p w:rsidR="000C350C" w:rsidRDefault="000C350C">
                  <w:pPr>
                    <w:spacing w:line="276" w:lineRule="auto"/>
                    <w:rPr>
                      <w:lang w:val="en-GB"/>
                    </w:rPr>
                  </w:pPr>
                  <w:r>
                    <w:rPr>
                      <w:lang w:val="en-GB"/>
                    </w:rPr>
                    <w:lastRenderedPageBreak/>
                    <w:t> </w:t>
                  </w:r>
                </w:p>
              </w:tc>
            </w:tr>
          </w:tbl>
          <w:p w:rsidR="000C350C" w:rsidRPr="000C350C" w:rsidRDefault="000C350C">
            <w:pPr>
              <w:rPr>
                <w:rFonts w:ascii="Times New Roman" w:eastAsia="Times New Roman" w:hAnsi="Times New Roman"/>
                <w:sz w:val="20"/>
                <w:szCs w:val="20"/>
                <w:lang w:val="en-GB" w:eastAsia="nl-NL"/>
              </w:rPr>
            </w:pPr>
          </w:p>
        </w:tc>
      </w:tr>
    </w:tbl>
    <w:p w:rsidR="000C350C" w:rsidRDefault="000C350C" w:rsidP="000C350C">
      <w:pPr>
        <w:rPr>
          <w:lang w:val="en-US"/>
        </w:rPr>
      </w:pPr>
    </w:p>
    <w:p w:rsidR="000C350C" w:rsidRDefault="000C350C" w:rsidP="000C350C">
      <w:pPr>
        <w:rPr>
          <w:lang w:val="en-GB"/>
        </w:rPr>
      </w:pPr>
    </w:p>
    <w:p w:rsidR="00205106" w:rsidRPr="000C350C" w:rsidRDefault="00205106">
      <w:pPr>
        <w:rPr>
          <w:lang w:val="en-GB"/>
        </w:rPr>
      </w:pPr>
      <w:bookmarkStart w:id="0" w:name="_GoBack"/>
      <w:bookmarkEnd w:id="0"/>
    </w:p>
    <w:sectPr w:rsidR="00205106" w:rsidRPr="000C35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D0633"/>
    <w:multiLevelType w:val="hybridMultilevel"/>
    <w:tmpl w:val="CC7EBB2C"/>
    <w:lvl w:ilvl="0" w:tplc="933604E2">
      <w:start w:val="1"/>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31F23C97"/>
    <w:multiLevelType w:val="hybridMultilevel"/>
    <w:tmpl w:val="BFB639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50C"/>
    <w:rsid w:val="000C350C"/>
    <w:rsid w:val="00205106"/>
    <w:rsid w:val="003B7674"/>
    <w:rsid w:val="00B214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401D5D-D36F-47CC-9439-1635178D4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C350C"/>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0C350C"/>
    <w:rPr>
      <w:color w:val="0000FF"/>
      <w:u w:val="single"/>
    </w:rPr>
  </w:style>
  <w:style w:type="paragraph" w:styleId="Lijstalinea">
    <w:name w:val="List Paragraph"/>
    <w:basedOn w:val="Standaard"/>
    <w:uiPriority w:val="34"/>
    <w:qFormat/>
    <w:rsid w:val="000C350C"/>
    <w:pPr>
      <w:ind w:left="720"/>
    </w:pPr>
    <w:rPr>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taxation_customs/taxation/tax_cooperation/mutual_assistance/direct_tax_directive/index_en.htm" TargetMode="External"/><Relationship Id="rId13" Type="http://schemas.openxmlformats.org/officeDocument/2006/relationships/hyperlink" Target="http://europa.eu/rapid/press-release_MEMO-14-470_en.htm" TargetMode="External"/><Relationship Id="rId18" Type="http://schemas.openxmlformats.org/officeDocument/2006/relationships/hyperlink" Target="http://www.europarl.europa.eu/committees/en/libe/members.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register.consilium.europa.eu/doc/srv?l=EN&amp;f=ST%2010419%202014%20INIT" TargetMode="External"/><Relationship Id="rId7" Type="http://schemas.openxmlformats.org/officeDocument/2006/relationships/hyperlink" Target="http://ec.europa.eu/taxation_customs/taxation/personal_tax/savings_tax/index_en.htm" TargetMode="External"/><Relationship Id="rId12" Type="http://schemas.openxmlformats.org/officeDocument/2006/relationships/hyperlink" Target="http://europa.eu/rapid/press-release_IP-14-794_de.htm?locale=de" TargetMode="External"/><Relationship Id="rId17" Type="http://schemas.openxmlformats.org/officeDocument/2006/relationships/hyperlink" Target="http://www.europarl.europa.eu/committees/en/juri/members.html" TargetMode="External"/><Relationship Id="rId25" Type="http://schemas.openxmlformats.org/officeDocument/2006/relationships/image" Target="cid:image002.png@01CF99DB.C42B66E0" TargetMode="External"/><Relationship Id="rId2" Type="http://schemas.openxmlformats.org/officeDocument/2006/relationships/styles" Target="styles.xml"/><Relationship Id="rId16" Type="http://schemas.openxmlformats.org/officeDocument/2006/relationships/hyperlink" Target="http://www.europarl.europa.eu/committees/en/imco/members.html" TargetMode="External"/><Relationship Id="rId20" Type="http://schemas.openxmlformats.org/officeDocument/2006/relationships/hyperlink" Target="http://www.consilium.europa.eu/uedocs/cms_data/docs/pressdata/en/ecofin/143709.pdf" TargetMode="External"/><Relationship Id="rId1" Type="http://schemas.openxmlformats.org/officeDocument/2006/relationships/numbering" Target="numbering.xml"/><Relationship Id="rId6" Type="http://schemas.openxmlformats.org/officeDocument/2006/relationships/image" Target="cid:image001.jpg@01CF9F60.5283CD40" TargetMode="External"/><Relationship Id="rId11" Type="http://schemas.openxmlformats.org/officeDocument/2006/relationships/hyperlink" Target="http://europa.eu/rapid/press-release_MEMO-14-470_en.htm" TargetMode="External"/><Relationship Id="rId24" Type="http://schemas.openxmlformats.org/officeDocument/2006/relationships/image" Target="media/image2.png"/><Relationship Id="rId5" Type="http://schemas.openxmlformats.org/officeDocument/2006/relationships/image" Target="media/image1.jpeg"/><Relationship Id="rId15" Type="http://schemas.openxmlformats.org/officeDocument/2006/relationships/hyperlink" Target="http://www.europarl.europa.eu/committees/en/econ/members.html" TargetMode="External"/><Relationship Id="rId23" Type="http://schemas.openxmlformats.org/officeDocument/2006/relationships/hyperlink" Target="http://www.linkedin.com/company/confederation-fiscal-europeene?trk=company_name" TargetMode="External"/><Relationship Id="rId10" Type="http://schemas.openxmlformats.org/officeDocument/2006/relationships/hyperlink" Target="http://ec.europa.eu/taxation_customs/resources/documents/taxation/tax_cooperation/mutual_assistance/financial_account/call_for_applications_en.pdf" TargetMode="External"/><Relationship Id="rId19" Type="http://schemas.openxmlformats.org/officeDocument/2006/relationships/hyperlink" Target="http://ec.europa.eu/taxation_customs/resources/documents/taxation/vat/how_vat_works/telecom/one-stop_add_guidelines_xx.pdf" TargetMode="External"/><Relationship Id="rId4" Type="http://schemas.openxmlformats.org/officeDocument/2006/relationships/webSettings" Target="webSettings.xml"/><Relationship Id="rId9" Type="http://schemas.openxmlformats.org/officeDocument/2006/relationships/hyperlink" Target="http://ec.europa.eu/taxation_customs/taxation/tax_cooperation/mutual_assistance/financial_account_information/index_en.htm" TargetMode="External"/><Relationship Id="rId14" Type="http://schemas.openxmlformats.org/officeDocument/2006/relationships/hyperlink" Target="http://europa.eu/rapid/press-release_MEMO-14-470_en.htm" TargetMode="External"/><Relationship Id="rId22" Type="http://schemas.openxmlformats.org/officeDocument/2006/relationships/hyperlink" Target="http://www.cfe-eutax.org" TargetMode="External"/><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A3CDB439.dotm</Template>
  <TotalTime>1</TotalTime>
  <Pages>3</Pages>
  <Words>1103</Words>
  <Characters>6069</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Schouten</dc:creator>
  <cp:keywords/>
  <dc:description/>
  <cp:lastModifiedBy>Sandra Schouten</cp:lastModifiedBy>
  <cp:revision>1</cp:revision>
  <dcterms:created xsi:type="dcterms:W3CDTF">2014-07-31T12:17:00Z</dcterms:created>
  <dcterms:modified xsi:type="dcterms:W3CDTF">2014-07-31T12:18:00Z</dcterms:modified>
</cp:coreProperties>
</file>