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3B" w:rsidRDefault="00DF663B" w:rsidP="00DF663B">
      <w:pPr>
        <w:rPr>
          <w:sz w:val="22"/>
          <w:szCs w:val="22"/>
        </w:rPr>
      </w:pPr>
    </w:p>
    <w:tbl>
      <w:tblPr>
        <w:tblW w:w="8154"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9072"/>
      </w:tblGrid>
      <w:tr w:rsidR="00DF663B" w:rsidRPr="00DF663B" w:rsidTr="00DF663B">
        <w:trPr>
          <w:tblCellSpacing w:w="0" w:type="dxa"/>
        </w:trPr>
        <w:tc>
          <w:tcPr>
            <w:tcW w:w="8154" w:type="dxa"/>
            <w:tcBorders>
              <w:top w:val="nil"/>
              <w:left w:val="nil"/>
              <w:bottom w:val="nil"/>
              <w:right w:val="nil"/>
            </w:tcBorders>
            <w:tcMar>
              <w:top w:w="375" w:type="dxa"/>
              <w:left w:w="300" w:type="dxa"/>
              <w:bottom w:w="300" w:type="dxa"/>
              <w:right w:w="300" w:type="dxa"/>
            </w:tcMar>
            <w:vAlign w:val="center"/>
            <w:hideMark/>
          </w:tcPr>
          <w:tbl>
            <w:tblPr>
              <w:tblW w:w="8214" w:type="dxa"/>
              <w:tblCellSpacing w:w="0" w:type="dxa"/>
              <w:tblCellMar>
                <w:left w:w="0" w:type="dxa"/>
                <w:right w:w="0" w:type="dxa"/>
              </w:tblCellMar>
              <w:tblLook w:val="04A0" w:firstRow="1" w:lastRow="0" w:firstColumn="1" w:lastColumn="0" w:noHBand="0" w:noVBand="1"/>
            </w:tblPr>
            <w:tblGrid>
              <w:gridCol w:w="8416"/>
              <w:gridCol w:w="56"/>
            </w:tblGrid>
            <w:tr w:rsidR="00DF663B" w:rsidRPr="00DF663B">
              <w:trPr>
                <w:tblCellSpacing w:w="0" w:type="dxa"/>
              </w:trPr>
              <w:tc>
                <w:tcPr>
                  <w:tcW w:w="8205" w:type="dxa"/>
                  <w:vAlign w:val="center"/>
                  <w:hideMark/>
                </w:tcPr>
                <w:p w:rsidR="00DF663B" w:rsidRDefault="00DF663B">
                  <w:pPr>
                    <w:spacing w:line="276" w:lineRule="auto"/>
                    <w:jc w:val="both"/>
                  </w:pPr>
                  <w:bookmarkStart w:id="0" w:name="_GoBack"/>
                  <w:bookmarkEnd w:id="0"/>
                  <w:r>
                    <w:rPr>
                      <w:noProof/>
                    </w:rPr>
                    <w:drawing>
                      <wp:inline distT="0" distB="0" distL="0" distR="0" wp14:anchorId="2C7E435F" wp14:editId="02EB53E1">
                        <wp:extent cx="5765165" cy="664845"/>
                        <wp:effectExtent l="0" t="0" r="6985" b="1905"/>
                        <wp:docPr id="5" name="Afbeelding 5" descr="C:\Users\SandraS\AppData\Local\Microsoft\Windows\Temporary Internet Files\Content.Word\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ndraS\AppData\Local\Microsoft\Windows\Temporary Internet Files\Content.Word\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165" cy="664845"/>
                                </a:xfrm>
                                <a:prstGeom prst="rect">
                                  <a:avLst/>
                                </a:prstGeom>
                                <a:noFill/>
                                <a:ln>
                                  <a:noFill/>
                                </a:ln>
                              </pic:spPr>
                            </pic:pic>
                          </a:graphicData>
                        </a:graphic>
                      </wp:inline>
                    </w:drawing>
                  </w:r>
                </w:p>
              </w:tc>
              <w:tc>
                <w:tcPr>
                  <w:tcW w:w="0" w:type="auto"/>
                  <w:vAlign w:val="center"/>
                  <w:hideMark/>
                </w:tcPr>
                <w:p w:rsidR="00DF663B" w:rsidRPr="00DF663B" w:rsidRDefault="00DF663B">
                  <w:pPr>
                    <w:spacing w:line="276" w:lineRule="auto"/>
                    <w:jc w:val="both"/>
                    <w:rPr>
                      <w:lang w:val="en-GB"/>
                    </w:rPr>
                  </w:pPr>
                  <w:r>
                    <w:rPr>
                      <w:color w:val="ACABAB"/>
                      <w:lang w:val="en-GB"/>
                    </w:rPr>
                    <w:t> </w:t>
                  </w:r>
                </w:p>
                <w:p w:rsidR="00DF663B" w:rsidRPr="00DF663B" w:rsidRDefault="00DF663B">
                  <w:pPr>
                    <w:spacing w:line="276" w:lineRule="auto"/>
                    <w:jc w:val="both"/>
                    <w:rPr>
                      <w:lang w:val="en-GB"/>
                    </w:rPr>
                  </w:pPr>
                  <w:r>
                    <w:rPr>
                      <w:color w:val="ACABAB"/>
                      <w:lang w:val="en-GB"/>
                    </w:rPr>
                    <w:t> </w:t>
                  </w:r>
                </w:p>
              </w:tc>
            </w:tr>
          </w:tbl>
          <w:p w:rsidR="00DF663B" w:rsidRPr="00DF663B" w:rsidRDefault="00DF663B">
            <w:pPr>
              <w:spacing w:line="276" w:lineRule="auto"/>
              <w:jc w:val="both"/>
              <w:rPr>
                <w:rFonts w:ascii="Calibri" w:hAnsi="Calibri"/>
                <w:sz w:val="22"/>
                <w:szCs w:val="22"/>
                <w:lang w:val="en-GB" w:eastAsia="en-US"/>
              </w:rPr>
            </w:pPr>
            <w:r>
              <w:rPr>
                <w:b/>
                <w:bCs/>
                <w:sz w:val="20"/>
                <w:szCs w:val="20"/>
                <w:lang w:val="en-GB"/>
              </w:rPr>
              <w:t>Fiscal Committee</w:t>
            </w:r>
          </w:p>
          <w:p w:rsidR="00DF663B" w:rsidRPr="00DF663B" w:rsidRDefault="00DF663B">
            <w:pPr>
              <w:spacing w:line="276" w:lineRule="auto"/>
              <w:jc w:val="both"/>
              <w:rPr>
                <w:lang w:val="en-GB"/>
              </w:rPr>
            </w:pPr>
            <w:r>
              <w:rPr>
                <w:b/>
                <w:bCs/>
                <w:sz w:val="20"/>
                <w:szCs w:val="20"/>
                <w:lang w:val="en-GB"/>
              </w:rPr>
              <w:t>                                                                                                                                                                   30 June 2014</w:t>
            </w:r>
          </w:p>
          <w:p w:rsidR="00DF663B" w:rsidRPr="00DF663B" w:rsidRDefault="00DF663B">
            <w:pPr>
              <w:pStyle w:val="Lijstalinea"/>
              <w:spacing w:line="276" w:lineRule="auto"/>
              <w:ind w:left="693" w:hanging="284"/>
              <w:jc w:val="both"/>
              <w:rPr>
                <w:lang w:val="en-GB"/>
              </w:rPr>
            </w:pPr>
            <w:r>
              <w:rPr>
                <w:sz w:val="20"/>
                <w:szCs w:val="20"/>
                <w:lang w:val="en-GB" w:eastAsia="en-US"/>
              </w:rPr>
              <w:t> </w:t>
            </w:r>
          </w:p>
          <w:p w:rsidR="00DF663B" w:rsidRPr="00DF663B" w:rsidRDefault="00DF663B">
            <w:pPr>
              <w:pStyle w:val="Lijstalinea"/>
              <w:spacing w:line="276" w:lineRule="auto"/>
              <w:jc w:val="both"/>
              <w:rPr>
                <w:lang w:val="en-GB"/>
              </w:rPr>
            </w:pPr>
            <w:r>
              <w:rPr>
                <w:b/>
                <w:bCs/>
                <w:sz w:val="20"/>
                <w:szCs w:val="20"/>
                <w:lang w:val="en-GB" w:eastAsia="en-US"/>
              </w:rPr>
              <w:t> </w:t>
            </w:r>
          </w:p>
          <w:p w:rsidR="00DF663B" w:rsidRPr="00DF663B" w:rsidRDefault="00DF663B">
            <w:pPr>
              <w:autoSpaceDE w:val="0"/>
              <w:autoSpaceDN w:val="0"/>
              <w:spacing w:line="276" w:lineRule="auto"/>
              <w:rPr>
                <w:lang w:val="en-GB"/>
              </w:rPr>
            </w:pPr>
            <w:r>
              <w:rPr>
                <w:b/>
                <w:bCs/>
                <w:color w:val="222222"/>
                <w:sz w:val="20"/>
                <w:szCs w:val="20"/>
                <w:lang w:val="en-GB"/>
              </w:rPr>
              <w:t>1-  VAT One Stop Shops: Commission calls on member states to ensure business-friendly implementation of new rules</w:t>
            </w:r>
          </w:p>
          <w:p w:rsidR="00DF663B" w:rsidRPr="00DF663B" w:rsidRDefault="00DF663B">
            <w:pPr>
              <w:pStyle w:val="Lijstalinea"/>
              <w:spacing w:line="276" w:lineRule="auto"/>
              <w:ind w:left="-16" w:firstLine="16"/>
              <w:jc w:val="both"/>
              <w:rPr>
                <w:lang w:val="en-GB"/>
              </w:rPr>
            </w:pPr>
            <w:r>
              <w:rPr>
                <w:sz w:val="20"/>
                <w:szCs w:val="20"/>
                <w:lang w:val="en-GB" w:eastAsia="en-US"/>
              </w:rPr>
              <w:t> </w:t>
            </w:r>
          </w:p>
          <w:p w:rsidR="00DF663B" w:rsidRPr="00DF663B" w:rsidRDefault="00DF663B">
            <w:pPr>
              <w:pStyle w:val="Lijstalinea"/>
              <w:spacing w:line="276" w:lineRule="auto"/>
              <w:ind w:left="0"/>
              <w:jc w:val="both"/>
              <w:rPr>
                <w:lang w:val="en-GB"/>
              </w:rPr>
            </w:pPr>
            <w:r>
              <w:rPr>
                <w:sz w:val="20"/>
                <w:szCs w:val="20"/>
                <w:lang w:val="en-GB" w:eastAsia="en-US"/>
              </w:rPr>
              <w:t>On 26 June 2014, the European Commission has published a report on the new VAT rules that will apply as of 2015 for providers of e-services, telecommunication and broadcasting. The report addresses businesses´ concerns unresolved by the new rules, asking member states to accommodate these in a pragmatic and business-friendly way, i.e. not to require businesses to issue invoices for B2C services and to designate a contact point for double taxation problems, as the new rules do not provide for a resolution procedure.</w:t>
            </w:r>
          </w:p>
          <w:p w:rsidR="00DF663B" w:rsidRPr="00DF663B" w:rsidRDefault="00DF663B">
            <w:pPr>
              <w:pStyle w:val="Lijstalinea"/>
              <w:spacing w:line="276" w:lineRule="auto"/>
              <w:ind w:left="0"/>
              <w:jc w:val="both"/>
              <w:rPr>
                <w:lang w:val="en-GB"/>
              </w:rPr>
            </w:pPr>
            <w:r>
              <w:rPr>
                <w:sz w:val="20"/>
                <w:szCs w:val="20"/>
                <w:lang w:val="en-GB" w:eastAsia="en-US"/>
              </w:rPr>
              <w:t> </w:t>
            </w:r>
          </w:p>
          <w:p w:rsidR="00DF663B" w:rsidRDefault="00DF663B" w:rsidP="00DF663B">
            <w:pPr>
              <w:pStyle w:val="Lijstalinea"/>
              <w:numPr>
                <w:ilvl w:val="0"/>
                <w:numId w:val="2"/>
              </w:numPr>
              <w:spacing w:line="276" w:lineRule="auto"/>
            </w:pPr>
            <w:r>
              <w:rPr>
                <w:lang w:val="en-GB" w:eastAsia="en-US"/>
              </w:rPr>
              <w:t xml:space="preserve">Report COM(2014)380: </w:t>
            </w:r>
            <w:hyperlink r:id="rId6" w:history="1">
              <w:r>
                <w:rPr>
                  <w:rStyle w:val="Hyperlink"/>
                  <w:lang w:val="en-GB" w:eastAsia="en-US"/>
                </w:rPr>
                <w:t>All EU languages</w:t>
              </w:r>
            </w:hyperlink>
          </w:p>
          <w:p w:rsidR="00DF663B" w:rsidRPr="00DF663B" w:rsidRDefault="00DF663B" w:rsidP="00DF663B">
            <w:pPr>
              <w:pStyle w:val="Lijstalinea"/>
              <w:numPr>
                <w:ilvl w:val="0"/>
                <w:numId w:val="2"/>
              </w:numPr>
              <w:spacing w:line="276" w:lineRule="auto"/>
              <w:rPr>
                <w:lang w:val="en-GB"/>
              </w:rPr>
            </w:pPr>
            <w:hyperlink r:id="rId7" w:history="1">
              <w:r>
                <w:rPr>
                  <w:rStyle w:val="Hyperlink"/>
                  <w:lang w:val="en-GB" w:eastAsia="en-US"/>
                </w:rPr>
                <w:t>VAT Committee guidelines</w:t>
              </w:r>
            </w:hyperlink>
            <w:r>
              <w:rPr>
                <w:lang w:val="en-GB" w:eastAsia="en-US"/>
              </w:rPr>
              <w:t>, last updated 27 May 2014</w:t>
            </w:r>
          </w:p>
          <w:p w:rsidR="00DF663B" w:rsidRPr="00DF663B" w:rsidRDefault="00DF663B">
            <w:pPr>
              <w:spacing w:line="276" w:lineRule="auto"/>
              <w:jc w:val="both"/>
              <w:rPr>
                <w:lang w:val="en-GB"/>
              </w:rPr>
            </w:pPr>
            <w:r>
              <w:rPr>
                <w:sz w:val="20"/>
                <w:szCs w:val="20"/>
                <w:lang w:val="en-GB"/>
              </w:rPr>
              <w:t> </w:t>
            </w:r>
          </w:p>
          <w:p w:rsidR="00DF663B" w:rsidRPr="00DF663B" w:rsidRDefault="00DF663B">
            <w:pPr>
              <w:spacing w:line="276" w:lineRule="auto"/>
              <w:jc w:val="both"/>
              <w:rPr>
                <w:lang w:val="en-GB"/>
              </w:rPr>
            </w:pPr>
            <w:r>
              <w:rPr>
                <w:sz w:val="20"/>
                <w:szCs w:val="20"/>
                <w:lang w:val="en-GB"/>
              </w:rPr>
              <w:t> </w:t>
            </w:r>
          </w:p>
          <w:p w:rsidR="00DF663B" w:rsidRPr="00DF663B" w:rsidRDefault="00DF663B">
            <w:pPr>
              <w:spacing w:line="276" w:lineRule="auto"/>
              <w:jc w:val="both"/>
              <w:rPr>
                <w:lang w:val="en-GB"/>
              </w:rPr>
            </w:pPr>
            <w:r>
              <w:rPr>
                <w:b/>
                <w:bCs/>
                <w:sz w:val="20"/>
                <w:szCs w:val="20"/>
                <w:lang w:val="en-GB"/>
              </w:rPr>
              <w:t>2- CFE publishes update of Transfer Pricing Survey</w:t>
            </w:r>
          </w:p>
          <w:p w:rsidR="00DF663B" w:rsidRPr="00DF663B" w:rsidRDefault="00DF663B">
            <w:pPr>
              <w:spacing w:line="276" w:lineRule="auto"/>
              <w:jc w:val="both"/>
              <w:rPr>
                <w:lang w:val="en-GB"/>
              </w:rPr>
            </w:pPr>
            <w:r>
              <w:rPr>
                <w:sz w:val="20"/>
                <w:szCs w:val="20"/>
                <w:lang w:val="en-GB"/>
              </w:rPr>
              <w:t> </w:t>
            </w:r>
          </w:p>
          <w:p w:rsidR="00DF663B" w:rsidRDefault="00DF663B">
            <w:pPr>
              <w:spacing w:line="276" w:lineRule="auto"/>
              <w:jc w:val="both"/>
            </w:pPr>
            <w:r>
              <w:rPr>
                <w:sz w:val="20"/>
                <w:szCs w:val="20"/>
                <w:lang w:val="en-GB"/>
              </w:rPr>
              <w:t>Today, the CFE has published the 2013/2014 update to its survey on transfer pricing documentation. The questionnaire to which 21 CFE countries have responded has been extended and a new chapter on benchmark assessments has been added. Moreover, new case law has been added.</w:t>
            </w:r>
          </w:p>
          <w:p w:rsidR="00DF663B" w:rsidRDefault="00DF663B">
            <w:pPr>
              <w:spacing w:line="276" w:lineRule="auto"/>
              <w:jc w:val="both"/>
            </w:pPr>
            <w:r>
              <w:rPr>
                <w:sz w:val="20"/>
                <w:szCs w:val="20"/>
                <w:lang w:val="en-GB"/>
              </w:rPr>
              <w:t> </w:t>
            </w:r>
          </w:p>
          <w:p w:rsidR="00DF663B" w:rsidRDefault="00DF663B" w:rsidP="00DF663B">
            <w:pPr>
              <w:pStyle w:val="Lijstalinea"/>
              <w:numPr>
                <w:ilvl w:val="0"/>
                <w:numId w:val="2"/>
              </w:numPr>
              <w:spacing w:line="276" w:lineRule="auto"/>
              <w:jc w:val="both"/>
            </w:pPr>
            <w:hyperlink r:id="rId8" w:history="1">
              <w:r>
                <w:rPr>
                  <w:rStyle w:val="Hyperlink"/>
                  <w:sz w:val="20"/>
                  <w:szCs w:val="20"/>
                  <w:lang w:val="en-GB" w:eastAsia="en-US"/>
                </w:rPr>
                <w:t>CFE Transfer Pricing Survey 2013/2014 update</w:t>
              </w:r>
            </w:hyperlink>
          </w:p>
          <w:p w:rsidR="00DF663B" w:rsidRDefault="00DF663B">
            <w:pPr>
              <w:spacing w:line="276" w:lineRule="auto"/>
              <w:jc w:val="both"/>
            </w:pPr>
            <w:r>
              <w:rPr>
                <w:sz w:val="20"/>
                <w:szCs w:val="20"/>
                <w:lang w:val="en-GB"/>
              </w:rPr>
              <w:t> </w:t>
            </w:r>
          </w:p>
          <w:p w:rsidR="00DF663B" w:rsidRPr="00DF663B" w:rsidRDefault="00DF663B">
            <w:pPr>
              <w:spacing w:line="276" w:lineRule="auto"/>
              <w:jc w:val="both"/>
              <w:rPr>
                <w:lang w:val="en-GB"/>
              </w:rPr>
            </w:pPr>
            <w:r>
              <w:rPr>
                <w:b/>
                <w:bCs/>
                <w:sz w:val="20"/>
                <w:szCs w:val="20"/>
                <w:lang w:val="en-GB"/>
              </w:rPr>
              <w:t>3- Italian social democrat set to be next ECON chair</w:t>
            </w:r>
          </w:p>
          <w:p w:rsidR="00DF663B" w:rsidRPr="00DF663B" w:rsidRDefault="00DF663B">
            <w:pPr>
              <w:pStyle w:val="Lijstalinea"/>
              <w:spacing w:line="276" w:lineRule="auto"/>
              <w:ind w:left="1080"/>
              <w:jc w:val="both"/>
              <w:rPr>
                <w:lang w:val="en-GB"/>
              </w:rPr>
            </w:pPr>
            <w:r>
              <w:rPr>
                <w:b/>
                <w:bCs/>
                <w:sz w:val="20"/>
                <w:szCs w:val="20"/>
                <w:lang w:val="en-GB" w:eastAsia="en-US"/>
              </w:rPr>
              <w:t> </w:t>
            </w:r>
          </w:p>
          <w:p w:rsidR="00DF663B" w:rsidRPr="00DF663B" w:rsidRDefault="00DF663B">
            <w:pPr>
              <w:pStyle w:val="Lijstalinea"/>
              <w:spacing w:line="276" w:lineRule="auto"/>
              <w:ind w:left="0"/>
              <w:jc w:val="both"/>
              <w:rPr>
                <w:lang w:val="en-GB"/>
              </w:rPr>
            </w:pPr>
            <w:r>
              <w:rPr>
                <w:sz w:val="20"/>
                <w:szCs w:val="20"/>
                <w:lang w:val="en-GB" w:eastAsia="en-US"/>
              </w:rPr>
              <w:t xml:space="preserve">According to press reports, on 26 June 2014, the political groups in the newly elected European Parliament reached agreement on the distribution of Committee </w:t>
            </w:r>
            <w:proofErr w:type="spellStart"/>
            <w:r>
              <w:rPr>
                <w:sz w:val="20"/>
                <w:szCs w:val="20"/>
                <w:lang w:val="en-GB" w:eastAsia="en-US"/>
              </w:rPr>
              <w:t>chairmens</w:t>
            </w:r>
            <w:proofErr w:type="spellEnd"/>
            <w:r>
              <w:rPr>
                <w:sz w:val="20"/>
                <w:szCs w:val="20"/>
                <w:lang w:val="en-GB" w:eastAsia="en-US"/>
              </w:rPr>
              <w:t xml:space="preserve">´ posts: The Italian social democrat (S&amp;D group) Roberto </w:t>
            </w:r>
            <w:proofErr w:type="spellStart"/>
            <w:r>
              <w:rPr>
                <w:sz w:val="20"/>
                <w:szCs w:val="20"/>
                <w:lang w:val="en-GB" w:eastAsia="en-US"/>
              </w:rPr>
              <w:t>Galtieri</w:t>
            </w:r>
            <w:proofErr w:type="spellEnd"/>
            <w:r>
              <w:rPr>
                <w:sz w:val="20"/>
                <w:szCs w:val="20"/>
                <w:lang w:val="en-GB" w:eastAsia="en-US"/>
              </w:rPr>
              <w:t xml:space="preserve"> would chair the Economic and Monetary Affairs Committee (ECON) for the first half of the EP´s five-year term. The ECON is responsible for most tax dossiers. Also the chair of the Civil Liberties, Justice and Home Affairs (LIBE) Committee, jointly responsible with the ECON for the recent work on the </w:t>
            </w:r>
            <w:proofErr w:type="spellStart"/>
            <w:r>
              <w:rPr>
                <w:sz w:val="20"/>
                <w:szCs w:val="20"/>
                <w:lang w:val="en-GB" w:eastAsia="en-US"/>
              </w:rPr>
              <w:t>Anti Money</w:t>
            </w:r>
            <w:proofErr w:type="spellEnd"/>
            <w:r>
              <w:rPr>
                <w:sz w:val="20"/>
                <w:szCs w:val="20"/>
                <w:lang w:val="en-GB" w:eastAsia="en-US"/>
              </w:rPr>
              <w:t xml:space="preserve"> Laundering Directive, will go to S&amp;D. The Internal Market and Consumer Protection (IMCO) Committee, responsible for most professional affairs matters including professional qualifications and cross-border services, would go to a member of the ECR (European Conservatives and Reformists) group, possibly from the UK Conservative Party, while the European People´s Party will get the Legal Affairs Committee (JURI) chair, responsible for audit and accounting. The new EP will hold its first meeting on 1 July 2014.</w:t>
            </w:r>
          </w:p>
          <w:p w:rsidR="00DF663B" w:rsidRPr="00DF663B" w:rsidRDefault="00DF663B">
            <w:pPr>
              <w:pStyle w:val="Lijstalinea"/>
              <w:spacing w:line="276" w:lineRule="auto"/>
              <w:ind w:left="1080"/>
              <w:jc w:val="both"/>
              <w:rPr>
                <w:lang w:val="en-GB"/>
              </w:rPr>
            </w:pPr>
            <w:r>
              <w:rPr>
                <w:sz w:val="20"/>
                <w:szCs w:val="20"/>
                <w:lang w:val="en-GB" w:eastAsia="en-US"/>
              </w:rPr>
              <w:t> </w:t>
            </w:r>
          </w:p>
          <w:p w:rsidR="00DF663B" w:rsidRPr="00DF663B" w:rsidRDefault="00DF663B">
            <w:pPr>
              <w:pStyle w:val="Lijstalinea"/>
              <w:spacing w:line="276" w:lineRule="auto"/>
              <w:ind w:left="-16"/>
              <w:jc w:val="both"/>
              <w:rPr>
                <w:lang w:val="en-GB"/>
              </w:rPr>
            </w:pPr>
            <w:r>
              <w:rPr>
                <w:b/>
                <w:bCs/>
                <w:sz w:val="20"/>
                <w:szCs w:val="20"/>
                <w:lang w:val="en-GB" w:eastAsia="en-US"/>
              </w:rPr>
              <w:t>4- VAT Mini One Stop Shops: Conference in Warsaw</w:t>
            </w:r>
          </w:p>
          <w:p w:rsidR="00DF663B" w:rsidRPr="00DF663B" w:rsidRDefault="00DF663B">
            <w:pPr>
              <w:pStyle w:val="Lijstalinea"/>
              <w:spacing w:line="276" w:lineRule="auto"/>
              <w:ind w:left="-16"/>
              <w:jc w:val="both"/>
              <w:rPr>
                <w:lang w:val="en-GB"/>
              </w:rPr>
            </w:pPr>
            <w:r>
              <w:rPr>
                <w:sz w:val="20"/>
                <w:szCs w:val="20"/>
                <w:lang w:val="en-GB" w:eastAsia="en-US"/>
              </w:rPr>
              <w:lastRenderedPageBreak/>
              <w:t> </w:t>
            </w:r>
          </w:p>
          <w:p w:rsidR="00DF663B" w:rsidRDefault="00DF663B">
            <w:pPr>
              <w:pStyle w:val="Lijstalinea"/>
              <w:spacing w:line="276" w:lineRule="auto"/>
              <w:ind w:left="0" w:hanging="16"/>
              <w:jc w:val="both"/>
            </w:pPr>
            <w:r>
              <w:rPr>
                <w:sz w:val="20"/>
                <w:szCs w:val="20"/>
                <w:lang w:val="en-GB" w:eastAsia="en-US"/>
              </w:rPr>
              <w:t>The European Commission will host a conference in Warsaw on 9 September 2014 to inform business and stakeholders on the Mini One Stop Shops. Registration is now open (until 25 July).</w:t>
            </w:r>
          </w:p>
          <w:p w:rsidR="00DF663B" w:rsidRDefault="00DF663B">
            <w:pPr>
              <w:pStyle w:val="Lijstalinea"/>
              <w:spacing w:line="276" w:lineRule="auto"/>
              <w:ind w:left="0" w:hanging="16"/>
              <w:jc w:val="both"/>
            </w:pPr>
            <w:r>
              <w:rPr>
                <w:sz w:val="20"/>
                <w:szCs w:val="20"/>
                <w:lang w:val="en-GB" w:eastAsia="en-US"/>
              </w:rPr>
              <w:t> </w:t>
            </w:r>
          </w:p>
          <w:p w:rsidR="00DF663B" w:rsidRPr="00DF663B" w:rsidRDefault="00DF663B" w:rsidP="00DF663B">
            <w:pPr>
              <w:pStyle w:val="Lijstalinea"/>
              <w:numPr>
                <w:ilvl w:val="0"/>
                <w:numId w:val="2"/>
              </w:numPr>
              <w:spacing w:line="276" w:lineRule="auto"/>
              <w:jc w:val="both"/>
              <w:rPr>
                <w:lang w:val="en-GB"/>
              </w:rPr>
            </w:pPr>
            <w:r>
              <w:rPr>
                <w:sz w:val="20"/>
                <w:szCs w:val="20"/>
                <w:lang w:val="en-GB" w:eastAsia="en-US"/>
              </w:rPr>
              <w:t xml:space="preserve">Registration for Warsaw conference: </w:t>
            </w:r>
            <w:hyperlink r:id="rId9" w:history="1">
              <w:r>
                <w:rPr>
                  <w:rStyle w:val="Hyperlink"/>
                  <w:sz w:val="20"/>
                  <w:szCs w:val="20"/>
                  <w:lang w:val="en-GB" w:eastAsia="en-US"/>
                </w:rPr>
                <w:t>EN/PL</w:t>
              </w:r>
            </w:hyperlink>
          </w:p>
          <w:p w:rsidR="00DF663B" w:rsidRPr="00DF663B" w:rsidRDefault="00DF663B">
            <w:pPr>
              <w:pStyle w:val="Lijstalinea"/>
              <w:spacing w:line="276" w:lineRule="auto"/>
              <w:ind w:left="1080"/>
              <w:jc w:val="both"/>
              <w:rPr>
                <w:lang w:val="en-GB"/>
              </w:rPr>
            </w:pPr>
            <w:r>
              <w:rPr>
                <w:sz w:val="20"/>
                <w:szCs w:val="20"/>
                <w:lang w:val="en-GB" w:eastAsia="en-US"/>
              </w:rPr>
              <w:t> </w:t>
            </w:r>
          </w:p>
          <w:p w:rsidR="00DF663B" w:rsidRPr="00DF663B" w:rsidRDefault="00DF663B">
            <w:pPr>
              <w:pStyle w:val="Lijstalinea"/>
              <w:spacing w:line="276" w:lineRule="auto"/>
              <w:ind w:left="-16"/>
              <w:jc w:val="both"/>
              <w:rPr>
                <w:lang w:val="en-GB"/>
              </w:rPr>
            </w:pPr>
            <w:r>
              <w:rPr>
                <w:b/>
                <w:bCs/>
                <w:sz w:val="20"/>
                <w:szCs w:val="20"/>
                <w:lang w:val="en-GB" w:eastAsia="en-US"/>
              </w:rPr>
              <w:t>5- Country by country reporting: Commission consults on equivalence of third country regimes for extractive industries</w:t>
            </w:r>
          </w:p>
          <w:p w:rsidR="00DF663B" w:rsidRPr="00DF663B" w:rsidRDefault="00DF663B">
            <w:pPr>
              <w:pStyle w:val="Lijstalinea"/>
              <w:spacing w:line="276" w:lineRule="auto"/>
              <w:ind w:left="-16"/>
              <w:jc w:val="both"/>
              <w:rPr>
                <w:lang w:val="en-GB"/>
              </w:rPr>
            </w:pPr>
            <w:r>
              <w:rPr>
                <w:sz w:val="20"/>
                <w:szCs w:val="20"/>
                <w:lang w:val="en-GB" w:eastAsia="en-US"/>
              </w:rPr>
              <w:t> </w:t>
            </w:r>
          </w:p>
          <w:p w:rsidR="00DF663B" w:rsidRDefault="00DF663B">
            <w:pPr>
              <w:pStyle w:val="Lijstalinea"/>
              <w:spacing w:line="276" w:lineRule="auto"/>
              <w:ind w:left="-16"/>
              <w:jc w:val="both"/>
            </w:pPr>
            <w:r>
              <w:rPr>
                <w:sz w:val="20"/>
                <w:szCs w:val="20"/>
                <w:lang w:val="en-GB" w:eastAsia="en-US"/>
              </w:rPr>
              <w:t>On 25 June 2014, the European Commission has launched a public consultation on the equivalence of third country regimes for mandatory country by country reporting (</w:t>
            </w:r>
            <w:proofErr w:type="spellStart"/>
            <w:r>
              <w:rPr>
                <w:sz w:val="20"/>
                <w:szCs w:val="20"/>
                <w:lang w:val="en-GB" w:eastAsia="en-US"/>
              </w:rPr>
              <w:t>cbcr</w:t>
            </w:r>
            <w:proofErr w:type="spellEnd"/>
            <w:r>
              <w:rPr>
                <w:sz w:val="20"/>
                <w:szCs w:val="20"/>
                <w:lang w:val="en-GB" w:eastAsia="en-US"/>
              </w:rPr>
              <w:t xml:space="preserve">) of payments to governments of the extractive and forestry industries. The EU has introduced its own </w:t>
            </w:r>
            <w:proofErr w:type="spellStart"/>
            <w:r>
              <w:rPr>
                <w:sz w:val="20"/>
                <w:szCs w:val="20"/>
                <w:lang w:val="en-GB" w:eastAsia="en-US"/>
              </w:rPr>
              <w:t>cbcr</w:t>
            </w:r>
            <w:proofErr w:type="spellEnd"/>
            <w:r>
              <w:rPr>
                <w:sz w:val="20"/>
                <w:szCs w:val="20"/>
                <w:lang w:val="en-GB" w:eastAsia="en-US"/>
              </w:rPr>
              <w:t xml:space="preserve"> regime for large and public undertakings in these sectors in 2013. The EU rules provide for an exemption for undertakings that meet third country </w:t>
            </w:r>
            <w:proofErr w:type="spellStart"/>
            <w:r>
              <w:rPr>
                <w:sz w:val="20"/>
                <w:szCs w:val="20"/>
                <w:lang w:val="en-GB" w:eastAsia="en-US"/>
              </w:rPr>
              <w:t>cbcr</w:t>
            </w:r>
            <w:proofErr w:type="spellEnd"/>
            <w:r>
              <w:rPr>
                <w:sz w:val="20"/>
                <w:szCs w:val="20"/>
                <w:lang w:val="en-GB" w:eastAsia="en-US"/>
              </w:rPr>
              <w:t xml:space="preserve"> requirements equivalent to the EU rules. The Commission is particularly interested in input on how such equivalence can be assessed. The consultation will be open until 10 October 2014.</w:t>
            </w:r>
          </w:p>
          <w:p w:rsidR="00DF663B" w:rsidRDefault="00DF663B">
            <w:pPr>
              <w:pStyle w:val="Lijstalinea"/>
              <w:spacing w:line="276" w:lineRule="auto"/>
              <w:ind w:left="1080" w:hanging="1096"/>
              <w:jc w:val="both"/>
            </w:pPr>
            <w:r>
              <w:rPr>
                <w:sz w:val="20"/>
                <w:szCs w:val="20"/>
                <w:lang w:val="en-GB" w:eastAsia="en-US"/>
              </w:rPr>
              <w:t> </w:t>
            </w:r>
          </w:p>
          <w:p w:rsidR="00DF663B" w:rsidRDefault="00DF663B" w:rsidP="00DF663B">
            <w:pPr>
              <w:pStyle w:val="Lijstalinea"/>
              <w:numPr>
                <w:ilvl w:val="0"/>
                <w:numId w:val="2"/>
              </w:numPr>
              <w:spacing w:line="276" w:lineRule="auto"/>
            </w:pPr>
            <w:hyperlink r:id="rId10" w:history="1">
              <w:r>
                <w:rPr>
                  <w:rStyle w:val="Hyperlink"/>
                  <w:sz w:val="20"/>
                  <w:szCs w:val="20"/>
                  <w:lang w:val="en-GB" w:eastAsia="en-US"/>
                </w:rPr>
                <w:t>Consultation website</w:t>
              </w:r>
            </w:hyperlink>
          </w:p>
          <w:p w:rsidR="00DF663B" w:rsidRPr="00DF663B" w:rsidRDefault="00DF663B" w:rsidP="00DF663B">
            <w:pPr>
              <w:pStyle w:val="Lijstalinea"/>
              <w:numPr>
                <w:ilvl w:val="0"/>
                <w:numId w:val="2"/>
              </w:numPr>
              <w:spacing w:line="276" w:lineRule="auto"/>
              <w:rPr>
                <w:lang w:val="en-GB"/>
              </w:rPr>
            </w:pPr>
            <w:hyperlink r:id="rId11" w:history="1">
              <w:r>
                <w:rPr>
                  <w:rStyle w:val="Hyperlink"/>
                  <w:sz w:val="20"/>
                  <w:szCs w:val="20"/>
                  <w:lang w:val="en-GB" w:eastAsia="en-US"/>
                </w:rPr>
                <w:t>EU Accounting Directive</w:t>
              </w:r>
            </w:hyperlink>
            <w:r>
              <w:rPr>
                <w:sz w:val="20"/>
                <w:szCs w:val="20"/>
                <w:lang w:val="en-GB" w:eastAsia="en-US"/>
              </w:rPr>
              <w:t xml:space="preserve"> 2013/34/EU (see Art.41 </w:t>
            </w:r>
            <w:proofErr w:type="spellStart"/>
            <w:r>
              <w:rPr>
                <w:sz w:val="20"/>
                <w:szCs w:val="20"/>
                <w:lang w:val="en-GB" w:eastAsia="en-US"/>
              </w:rPr>
              <w:t>ff</w:t>
            </w:r>
            <w:proofErr w:type="spellEnd"/>
            <w:r>
              <w:rPr>
                <w:sz w:val="20"/>
                <w:szCs w:val="20"/>
                <w:lang w:val="en-GB" w:eastAsia="en-US"/>
              </w:rPr>
              <w:t>)</w:t>
            </w:r>
          </w:p>
          <w:p w:rsidR="00DF663B" w:rsidRPr="00DF663B" w:rsidRDefault="00DF663B">
            <w:pPr>
              <w:pStyle w:val="Lijstalinea"/>
              <w:spacing w:line="276" w:lineRule="auto"/>
              <w:ind w:left="1080"/>
              <w:jc w:val="both"/>
              <w:rPr>
                <w:lang w:val="en-GB"/>
              </w:rPr>
            </w:pPr>
            <w:r>
              <w:rPr>
                <w:sz w:val="20"/>
                <w:szCs w:val="20"/>
                <w:lang w:val="en-GB" w:eastAsia="en-US"/>
              </w:rPr>
              <w:t> </w:t>
            </w:r>
          </w:p>
          <w:p w:rsidR="00DF663B" w:rsidRPr="00DF663B" w:rsidRDefault="00DF663B">
            <w:pPr>
              <w:spacing w:line="276" w:lineRule="auto"/>
              <w:jc w:val="center"/>
              <w:rPr>
                <w:lang w:val="en-GB"/>
              </w:rPr>
            </w:pPr>
            <w:r>
              <w:rPr>
                <w:sz w:val="20"/>
                <w:szCs w:val="20"/>
                <w:lang w:val="en-GB"/>
              </w:rPr>
              <w:t>*****</w:t>
            </w:r>
          </w:p>
          <w:p w:rsidR="00DF663B" w:rsidRPr="00DF663B" w:rsidRDefault="00DF663B">
            <w:pPr>
              <w:spacing w:line="276" w:lineRule="auto"/>
              <w:jc w:val="both"/>
              <w:rPr>
                <w:lang w:val="en-GB"/>
              </w:rPr>
            </w:pPr>
            <w:r>
              <w:rPr>
                <w:sz w:val="20"/>
                <w:szCs w:val="20"/>
                <w:lang w:val="en-GB"/>
              </w:rPr>
              <w:t> </w:t>
            </w:r>
          </w:p>
          <w:p w:rsidR="00DF663B" w:rsidRPr="00DF663B" w:rsidRDefault="00DF663B">
            <w:pPr>
              <w:pStyle w:val="Lijstalinea"/>
              <w:spacing w:line="276" w:lineRule="auto"/>
              <w:ind w:left="126"/>
              <w:jc w:val="center"/>
              <w:rPr>
                <w:lang w:val="en-GB"/>
              </w:rPr>
            </w:pPr>
            <w:r>
              <w:rPr>
                <w:i/>
                <w:iCs/>
                <w:sz w:val="20"/>
                <w:szCs w:val="20"/>
                <w:lang w:val="en-GB" w:eastAsia="en-US"/>
              </w:rPr>
              <w:t xml:space="preserve">The selection of the remitted material has been prepared by </w:t>
            </w:r>
            <w:proofErr w:type="spellStart"/>
            <w:r>
              <w:rPr>
                <w:i/>
                <w:iCs/>
                <w:sz w:val="20"/>
                <w:szCs w:val="20"/>
                <w:lang w:val="en-GB" w:eastAsia="en-US"/>
              </w:rPr>
              <w:t>Piergiorgio</w:t>
            </w:r>
            <w:proofErr w:type="spellEnd"/>
            <w:r>
              <w:rPr>
                <w:i/>
                <w:iCs/>
                <w:sz w:val="20"/>
                <w:szCs w:val="20"/>
                <w:lang w:val="en-GB" w:eastAsia="en-US"/>
              </w:rPr>
              <w:t xml:space="preserve"> Valente / </w:t>
            </w:r>
            <w:proofErr w:type="spellStart"/>
            <w:r>
              <w:rPr>
                <w:i/>
                <w:iCs/>
                <w:sz w:val="20"/>
                <w:szCs w:val="20"/>
                <w:lang w:val="en-GB" w:eastAsia="en-US"/>
              </w:rPr>
              <w:t>Filipa</w:t>
            </w:r>
            <w:proofErr w:type="spellEnd"/>
            <w:r>
              <w:rPr>
                <w:i/>
                <w:iCs/>
                <w:sz w:val="20"/>
                <w:szCs w:val="20"/>
                <w:lang w:val="en-GB" w:eastAsia="en-US"/>
              </w:rPr>
              <w:t xml:space="preserve"> </w:t>
            </w:r>
            <w:proofErr w:type="spellStart"/>
            <w:r>
              <w:rPr>
                <w:i/>
                <w:iCs/>
                <w:sz w:val="20"/>
                <w:szCs w:val="20"/>
                <w:lang w:val="en-GB" w:eastAsia="en-US"/>
              </w:rPr>
              <w:t>Correia</w:t>
            </w:r>
            <w:proofErr w:type="spellEnd"/>
            <w:r>
              <w:rPr>
                <w:i/>
                <w:iCs/>
                <w:sz w:val="20"/>
                <w:szCs w:val="20"/>
                <w:lang w:val="en-GB" w:eastAsia="en-US"/>
              </w:rPr>
              <w:t xml:space="preserve"> / Rudolf </w:t>
            </w:r>
            <w:proofErr w:type="spellStart"/>
            <w:r>
              <w:rPr>
                <w:i/>
                <w:iCs/>
                <w:sz w:val="20"/>
                <w:szCs w:val="20"/>
                <w:lang w:val="en-GB" w:eastAsia="en-US"/>
              </w:rPr>
              <w:t>Reibel</w:t>
            </w:r>
            <w:proofErr w:type="spellEnd"/>
          </w:p>
          <w:p w:rsidR="00DF663B" w:rsidRPr="00DF663B" w:rsidRDefault="00DF663B">
            <w:pPr>
              <w:pStyle w:val="Lijstalinea"/>
              <w:spacing w:line="276" w:lineRule="auto"/>
              <w:ind w:left="126"/>
              <w:jc w:val="center"/>
              <w:rPr>
                <w:lang w:val="en-GB"/>
              </w:rPr>
            </w:pPr>
            <w:r>
              <w:rPr>
                <w:i/>
                <w:iCs/>
                <w:sz w:val="20"/>
                <w:szCs w:val="20"/>
                <w:lang w:val="en-GB" w:eastAsia="en-US"/>
              </w:rPr>
              <w:t> </w:t>
            </w:r>
          </w:p>
          <w:p w:rsidR="00DF663B" w:rsidRPr="00DF663B" w:rsidRDefault="00DF663B">
            <w:pPr>
              <w:pStyle w:val="Lijstalinea"/>
              <w:spacing w:line="276" w:lineRule="auto"/>
              <w:ind w:left="126"/>
              <w:jc w:val="center"/>
              <w:rPr>
                <w:lang w:val="en-GB"/>
              </w:rPr>
            </w:pPr>
            <w:hyperlink r:id="rId12" w:history="1">
              <w:r>
                <w:rPr>
                  <w:rStyle w:val="Hyperlink"/>
                  <w:i/>
                  <w:iCs/>
                  <w:sz w:val="20"/>
                  <w:szCs w:val="20"/>
                  <w:lang w:val="en-GB" w:eastAsia="en-US"/>
                </w:rPr>
                <w:t>www.cfe-eutax.org</w:t>
              </w:r>
            </w:hyperlink>
          </w:p>
          <w:p w:rsidR="00DF663B" w:rsidRPr="00DF663B" w:rsidRDefault="00DF663B">
            <w:pPr>
              <w:pStyle w:val="Lijstalinea"/>
              <w:spacing w:line="276" w:lineRule="auto"/>
              <w:ind w:left="126"/>
              <w:jc w:val="center"/>
              <w:rPr>
                <w:lang w:val="en-GB"/>
              </w:rPr>
            </w:pPr>
            <w:r>
              <w:rPr>
                <w:rStyle w:val="Hyperlink"/>
                <w:i/>
                <w:iCs/>
                <w:sz w:val="20"/>
                <w:szCs w:val="20"/>
                <w:u w:val="none"/>
                <w:lang w:val="en-GB" w:eastAsia="en-US"/>
              </w:rPr>
              <w:t> </w:t>
            </w:r>
          </w:p>
          <w:p w:rsidR="00DF663B" w:rsidRPr="00DF663B" w:rsidRDefault="00DF663B">
            <w:pPr>
              <w:pStyle w:val="Lijstalinea"/>
              <w:spacing w:line="276" w:lineRule="auto"/>
              <w:ind w:left="126"/>
              <w:jc w:val="center"/>
              <w:rPr>
                <w:lang w:val="en-GB"/>
              </w:rPr>
            </w:pPr>
            <w:r>
              <w:rPr>
                <w:i/>
                <w:iCs/>
                <w:sz w:val="20"/>
                <w:szCs w:val="20"/>
                <w:lang w:val="en-US" w:eastAsia="en-US"/>
              </w:rPr>
              <w:t xml:space="preserve">Follow us on </w:t>
            </w:r>
            <w:hyperlink r:id="rId13" w:history="1">
              <w:r>
                <w:rPr>
                  <w:rStyle w:val="Hyperlink"/>
                  <w:sz w:val="20"/>
                  <w:szCs w:val="20"/>
                  <w:lang w:val="en-US" w:eastAsia="en-US"/>
                </w:rPr>
                <w:t>Linked in</w:t>
              </w:r>
            </w:hyperlink>
            <w:r w:rsidRPr="00DF663B">
              <w:rPr>
                <w:sz w:val="20"/>
                <w:szCs w:val="20"/>
                <w:lang w:val="en-GB" w:eastAsia="en-US"/>
              </w:rPr>
              <w:t xml:space="preserve"> </w:t>
            </w:r>
            <w:r>
              <w:rPr>
                <w:noProof/>
                <w:sz w:val="20"/>
                <w:szCs w:val="20"/>
              </w:rPr>
              <mc:AlternateContent>
                <mc:Choice Requires="wps">
                  <w:drawing>
                    <wp:inline distT="0" distB="0" distL="0" distR="0">
                      <wp:extent cx="201930" cy="189865"/>
                      <wp:effectExtent l="0" t="0" r="0" b="0"/>
                      <wp:docPr id="3" name="Rechthoek 3" descr="cid:image003.png@01CF945F.E80B91B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19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2AFFE" id="Rechthoek 3" o:spid="_x0000_s1026" alt="cid:image003.png@01CF945F.E80B91B0" style="width:15.9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" filled="f" stroked="f">
                      <o:lock v:ext="edit" aspectratio="t"/>
                      <w10:anchorlock/>
                    </v:rect>
                  </w:pict>
                </mc:Fallback>
              </mc:AlternateContent>
            </w:r>
            <w:r>
              <w:rPr>
                <w:i/>
                <w:iCs/>
                <w:sz w:val="20"/>
                <w:szCs w:val="20"/>
                <w:lang w:val="en-US" w:eastAsia="en-US"/>
              </w:rPr>
              <w:t>  </w:t>
            </w:r>
          </w:p>
        </w:tc>
      </w:tr>
      <w:tr w:rsidR="00DF663B" w:rsidRPr="00DF663B" w:rsidTr="00DF663B">
        <w:trPr>
          <w:tblCellSpacing w:w="0" w:type="dxa"/>
        </w:trPr>
        <w:tc>
          <w:tcPr>
            <w:tcW w:w="8154" w:type="dxa"/>
            <w:tcBorders>
              <w:top w:val="nil"/>
              <w:left w:val="nil"/>
              <w:bottom w:val="nil"/>
              <w:right w:val="nil"/>
            </w:tcBorders>
            <w:vAlign w:val="center"/>
            <w:hideMark/>
          </w:tcPr>
          <w:tbl>
            <w:tblPr>
              <w:tblW w:w="0" w:type="auto"/>
              <w:tblCellSpacing w:w="0" w:type="dxa"/>
              <w:tblCellMar>
                <w:left w:w="0" w:type="dxa"/>
                <w:right w:w="0" w:type="dxa"/>
              </w:tblCellMar>
              <w:tblLook w:val="04A0" w:firstRow="1" w:lastRow="0" w:firstColumn="1" w:lastColumn="0" w:noHBand="0" w:noVBand="1"/>
            </w:tblPr>
            <w:tblGrid>
              <w:gridCol w:w="60"/>
            </w:tblGrid>
            <w:tr w:rsidR="00DF663B" w:rsidRPr="00DF663B">
              <w:trPr>
                <w:tblCellSpacing w:w="0" w:type="dxa"/>
              </w:trPr>
              <w:tc>
                <w:tcPr>
                  <w:tcW w:w="0" w:type="auto"/>
                  <w:vAlign w:val="center"/>
                  <w:hideMark/>
                </w:tcPr>
                <w:p w:rsidR="00DF663B" w:rsidRPr="00DF663B" w:rsidRDefault="00DF663B">
                  <w:pPr>
                    <w:spacing w:line="276" w:lineRule="auto"/>
                    <w:rPr>
                      <w:lang w:val="en-GB"/>
                    </w:rPr>
                  </w:pPr>
                  <w:r>
                    <w:rPr>
                      <w:lang w:val="en-GB"/>
                    </w:rPr>
                    <w:lastRenderedPageBreak/>
                    <w:t> </w:t>
                  </w:r>
                </w:p>
              </w:tc>
            </w:tr>
          </w:tbl>
          <w:p w:rsidR="00DF663B" w:rsidRPr="00DF663B" w:rsidRDefault="00DF663B">
            <w:pPr>
              <w:rPr>
                <w:rFonts w:eastAsia="Times New Roman"/>
                <w:sz w:val="20"/>
                <w:szCs w:val="20"/>
                <w:lang w:val="en-GB"/>
              </w:rPr>
            </w:pPr>
          </w:p>
        </w:tc>
      </w:tr>
    </w:tbl>
    <w:p w:rsidR="00DF663B" w:rsidRPr="00DF663B" w:rsidRDefault="00DF663B" w:rsidP="00DF663B">
      <w:pPr>
        <w:rPr>
          <w:rFonts w:ascii="Calibri" w:hAnsi="Calibri"/>
          <w:sz w:val="22"/>
          <w:szCs w:val="22"/>
          <w:lang w:val="en-GB" w:eastAsia="en-US"/>
        </w:rPr>
      </w:pPr>
      <w:r>
        <w:rPr>
          <w:lang w:val="en-US"/>
        </w:rPr>
        <w:t> </w:t>
      </w:r>
    </w:p>
    <w:p w:rsidR="00DF663B" w:rsidRPr="00DF663B" w:rsidRDefault="00DF663B" w:rsidP="00DF663B">
      <w:pPr>
        <w:rPr>
          <w:lang w:val="en-GB"/>
        </w:rPr>
      </w:pPr>
      <w:r>
        <w:rPr>
          <w:lang w:val="en-GB"/>
        </w:rPr>
        <w:t> </w:t>
      </w:r>
    </w:p>
    <w:p w:rsidR="00DF663B" w:rsidRPr="00DF663B" w:rsidRDefault="00DF663B" w:rsidP="00DF663B">
      <w:pPr>
        <w:rPr>
          <w:lang w:val="en-GB"/>
        </w:rPr>
      </w:pPr>
      <w:r>
        <w:rPr>
          <w:lang w:val="en-GB"/>
        </w:rPr>
        <w:t> </w:t>
      </w:r>
    </w:p>
    <w:p w:rsidR="00205106" w:rsidRPr="00DF663B" w:rsidRDefault="00205106" w:rsidP="00DF663B">
      <w:pPr>
        <w:rPr>
          <w:lang w:val="en-GB"/>
        </w:rPr>
      </w:pPr>
    </w:p>
    <w:sectPr w:rsidR="00205106" w:rsidRPr="00DF6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77C0F"/>
    <w:multiLevelType w:val="hybridMultilevel"/>
    <w:tmpl w:val="4CB05B42"/>
    <w:lvl w:ilvl="0" w:tplc="04FCABCC">
      <w:start w:val="1"/>
      <w:numFmt w:val="bullet"/>
      <w:lvlText w:val="-"/>
      <w:lvlJc w:val="left"/>
      <w:pPr>
        <w:ind w:left="1080" w:hanging="360"/>
      </w:pPr>
      <w:rPr>
        <w:rFonts w:ascii="Calibri" w:eastAsia="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36105223"/>
    <w:multiLevelType w:val="hybridMultilevel"/>
    <w:tmpl w:val="DAC41AF8"/>
    <w:lvl w:ilvl="0" w:tplc="B496654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62"/>
    <w:rsid w:val="00205106"/>
    <w:rsid w:val="003B7674"/>
    <w:rsid w:val="00B01D62"/>
    <w:rsid w:val="00B21468"/>
    <w:rsid w:val="00DF6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73435-182E-43FB-A63F-D835E553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1D62"/>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01D62"/>
    <w:rPr>
      <w:color w:val="0000FF"/>
      <w:u w:val="single"/>
    </w:rPr>
  </w:style>
  <w:style w:type="paragraph" w:styleId="Lijstalinea">
    <w:name w:val="List Paragraph"/>
    <w:basedOn w:val="Standaard"/>
    <w:uiPriority w:val="34"/>
    <w:qFormat/>
    <w:rsid w:val="00B01D62"/>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74860">
      <w:bodyDiv w:val="1"/>
      <w:marLeft w:val="0"/>
      <w:marRight w:val="0"/>
      <w:marTop w:val="0"/>
      <w:marBottom w:val="0"/>
      <w:divBdr>
        <w:top w:val="none" w:sz="0" w:space="0" w:color="auto"/>
        <w:left w:val="none" w:sz="0" w:space="0" w:color="auto"/>
        <w:bottom w:val="none" w:sz="0" w:space="0" w:color="auto"/>
        <w:right w:val="none" w:sz="0" w:space="0" w:color="auto"/>
      </w:divBdr>
    </w:div>
    <w:div w:id="13737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e-eutax.org/node/3693" TargetMode="External"/><Relationship Id="rId13" Type="http://schemas.openxmlformats.org/officeDocument/2006/relationships/hyperlink" Target="http://www.linkedin.com/company/confederation-fiscal-europeene?trk=company_name" TargetMode="External"/><Relationship Id="rId3" Type="http://schemas.openxmlformats.org/officeDocument/2006/relationships/settings" Target="settings.xml"/><Relationship Id="rId7" Type="http://schemas.openxmlformats.org/officeDocument/2006/relationships/hyperlink" Target="http://ec.europa.eu/taxation_customs/resources/documents/taxation/vat/key_documents/vat_committee/guidelines-vat-committee-meetings_en.pdf" TargetMode="External"/><Relationship Id="rId12" Type="http://schemas.openxmlformats.org/officeDocument/2006/relationships/hyperlink" Target="http://www.cfe-euta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taxation_customs/resources/documents/taxation/vat/how_vat_works/telecom/com%282014%29380_xx.pdf" TargetMode="External"/><Relationship Id="rId11" Type="http://schemas.openxmlformats.org/officeDocument/2006/relationships/hyperlink" Target="http://eur-lex.europa.eu/LexUriServ/LexUriServ.do?uri=OJ:L:2013:182:0019:0076:EN:PDF"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ec.europa.eu/internal_market/consultations/2014/extractive-forestry/index_en.htm" TargetMode="External"/><Relationship Id="rId4" Type="http://schemas.openxmlformats.org/officeDocument/2006/relationships/webSettings" Target="webSettings.xml"/><Relationship Id="rId9" Type="http://schemas.openxmlformats.org/officeDocument/2006/relationships/hyperlink" Target="http://www.finanse.mf.gov.pl/vat/wyjasnienia-i-komunikaty/-/asset_publisher/Id8O/content/konferencja-vat-%E2%80%93-miejsce-swiadczenia-uslug-maly-punkt-kompleksowej-obslugi-mini-one-stop-shop-moss-rejestracja-do-25-07-%E2%80%93-vat-conference-%E2%80%93-place-of-supply-of-services-mini-one-stop-shop-moss-registration-to-25-july;jsessionid=57B7BFF4B65C9EFC2319547582A544A0?redirect=http%3A%2F%2Fwww.finanse.mf.gov.pl%2Fvat%2Fwyjasnienia-i-komunikaty%3Fp_p_id%3D101_INSTANCE_Id8O%26p_p_lifecycle%3D0%26p_p_state%3Dnormal%26p_p_mode%3Dview%26p_p_col_id%3Dcolumn-2%26p_p_col_count%3D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D590539A.dotm</Template>
  <TotalTime>1</TotalTime>
  <Pages>2</Pages>
  <Words>765</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Schouten</dc:creator>
  <cp:keywords/>
  <dc:description/>
  <cp:lastModifiedBy>Sandra Schouten</cp:lastModifiedBy>
  <cp:revision>2</cp:revision>
  <dcterms:created xsi:type="dcterms:W3CDTF">2014-07-04T10:43:00Z</dcterms:created>
  <dcterms:modified xsi:type="dcterms:W3CDTF">2014-07-04T10:43:00Z</dcterms:modified>
</cp:coreProperties>
</file>