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D62" w:rsidRDefault="00B01D62" w:rsidP="00B01D62"/>
    <w:tbl>
      <w:tblPr>
        <w:tblW w:w="8265" w:type="dxa"/>
        <w:tblCellSpacing w:w="0" w:type="dxa"/>
        <w:tblCellMar>
          <w:left w:w="0" w:type="dxa"/>
          <w:right w:w="0" w:type="dxa"/>
        </w:tblCellMar>
        <w:tblLook w:val="04A0" w:firstRow="1" w:lastRow="0" w:firstColumn="1" w:lastColumn="0" w:noHBand="0" w:noVBand="1"/>
      </w:tblPr>
      <w:tblGrid>
        <w:gridCol w:w="9052"/>
      </w:tblGrid>
      <w:tr w:rsidR="00B01D62" w:rsidTr="00B01D62">
        <w:trPr>
          <w:tblCellSpacing w:w="0" w:type="dxa"/>
        </w:trPr>
        <w:tc>
          <w:tcPr>
            <w:tcW w:w="0" w:type="auto"/>
            <w:tcBorders>
              <w:top w:val="single" w:sz="8" w:space="0" w:color="9C9C9C"/>
              <w:left w:val="single" w:sz="8" w:space="0" w:color="9C9C9C"/>
              <w:bottom w:val="single" w:sz="8" w:space="0" w:color="9C9C9C"/>
              <w:right w:val="single" w:sz="8" w:space="0" w:color="9C9C9C"/>
            </w:tcBorders>
            <w:shd w:val="clear" w:color="auto" w:fill="FFFFFF"/>
            <w:tcMar>
              <w:top w:w="75" w:type="dxa"/>
              <w:left w:w="75" w:type="dxa"/>
              <w:bottom w:w="75" w:type="dxa"/>
              <w:right w:w="75" w:type="dxa"/>
            </w:tcMar>
            <w:vAlign w:val="center"/>
            <w:hideMark/>
          </w:tcPr>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8862"/>
            </w:tblGrid>
            <w:tr w:rsidR="00B01D62">
              <w:trPr>
                <w:tblCellSpacing w:w="0" w:type="dxa"/>
              </w:trPr>
              <w:tc>
                <w:tcPr>
                  <w:tcW w:w="8154" w:type="dxa"/>
                  <w:tcBorders>
                    <w:top w:val="nil"/>
                    <w:left w:val="nil"/>
                    <w:bottom w:val="nil"/>
                    <w:right w:val="nil"/>
                  </w:tcBorders>
                  <w:tcMar>
                    <w:top w:w="375" w:type="dxa"/>
                    <w:left w:w="300" w:type="dxa"/>
                    <w:bottom w:w="300" w:type="dxa"/>
                    <w:right w:w="300" w:type="dxa"/>
                  </w:tcMar>
                  <w:vAlign w:val="center"/>
                  <w:hideMark/>
                </w:tcPr>
                <w:tbl>
                  <w:tblPr>
                    <w:tblW w:w="8214" w:type="dxa"/>
                    <w:tblCellSpacing w:w="0" w:type="dxa"/>
                    <w:tblCellMar>
                      <w:left w:w="0" w:type="dxa"/>
                      <w:right w:w="0" w:type="dxa"/>
                    </w:tblCellMar>
                    <w:tblLook w:val="04A0" w:firstRow="1" w:lastRow="0" w:firstColumn="1" w:lastColumn="0" w:noHBand="0" w:noVBand="1"/>
                  </w:tblPr>
                  <w:tblGrid>
                    <w:gridCol w:w="8217"/>
                    <w:gridCol w:w="45"/>
                  </w:tblGrid>
                  <w:tr w:rsidR="00B01D62">
                    <w:trPr>
                      <w:tblCellSpacing w:w="0" w:type="dxa"/>
                    </w:trPr>
                    <w:tc>
                      <w:tcPr>
                        <w:tcW w:w="8205" w:type="dxa"/>
                        <w:vAlign w:val="center"/>
                        <w:hideMark/>
                      </w:tcPr>
                      <w:p w:rsidR="00B01D62" w:rsidRDefault="00B01D62">
                        <w:pPr>
                          <w:spacing w:line="276" w:lineRule="auto"/>
                          <w:jc w:val="both"/>
                        </w:pPr>
                        <w:bookmarkStart w:id="0" w:name="_GoBack"/>
                        <w:bookmarkEnd w:id="0"/>
                        <w:r>
                          <w:rPr>
                            <w:noProof/>
                          </w:rPr>
                          <w:drawing>
                            <wp:inline distT="0" distB="0" distL="0" distR="0" wp14:anchorId="214C44CF" wp14:editId="05F889E7">
                              <wp:extent cx="5765165" cy="664845"/>
                              <wp:effectExtent l="0" t="0" r="6985" b="1905"/>
                              <wp:docPr id="2" name="Afbeelding 2" descr="C:\Users\SandraS\AppData\Local\Microsoft\Windows\Temporary Internet Files\Content.Word\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draS\AppData\Local\Microsoft\Windows\Temporary Internet Files\Content.Word\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5165" cy="664845"/>
                                      </a:xfrm>
                                      <a:prstGeom prst="rect">
                                        <a:avLst/>
                                      </a:prstGeom>
                                      <a:noFill/>
                                      <a:ln>
                                        <a:noFill/>
                                      </a:ln>
                                    </pic:spPr>
                                  </pic:pic>
                                </a:graphicData>
                              </a:graphic>
                            </wp:inline>
                          </w:drawing>
                        </w:r>
                      </w:p>
                    </w:tc>
                    <w:tc>
                      <w:tcPr>
                        <w:tcW w:w="0" w:type="auto"/>
                        <w:vAlign w:val="center"/>
                        <w:hideMark/>
                      </w:tcPr>
                      <w:p w:rsidR="00B01D62" w:rsidRDefault="00B01D62">
                        <w:pPr>
                          <w:spacing w:line="276" w:lineRule="auto"/>
                          <w:jc w:val="both"/>
                        </w:pPr>
                        <w:r>
                          <w:rPr>
                            <w:rFonts w:ascii="Calibri" w:hAnsi="Calibri"/>
                            <w:color w:val="ACABAB"/>
                            <w:sz w:val="22"/>
                            <w:szCs w:val="22"/>
                            <w:lang w:val="en-GB" w:eastAsia="en-US"/>
                          </w:rPr>
                          <w:t> </w:t>
                        </w:r>
                      </w:p>
                      <w:p w:rsidR="00B01D62" w:rsidRDefault="00B01D62">
                        <w:pPr>
                          <w:spacing w:line="276" w:lineRule="auto"/>
                          <w:jc w:val="both"/>
                        </w:pPr>
                        <w:r>
                          <w:rPr>
                            <w:rFonts w:ascii="Calibri" w:hAnsi="Calibri"/>
                            <w:color w:val="ACABAB"/>
                            <w:sz w:val="22"/>
                            <w:szCs w:val="22"/>
                            <w:lang w:val="en-GB" w:eastAsia="en-US"/>
                          </w:rPr>
                          <w:t> </w:t>
                        </w:r>
                      </w:p>
                    </w:tc>
                  </w:tr>
                </w:tbl>
                <w:p w:rsidR="00B01D62" w:rsidRDefault="00B01D62">
                  <w:pPr>
                    <w:spacing w:line="276" w:lineRule="auto"/>
                    <w:jc w:val="both"/>
                  </w:pPr>
                  <w:r>
                    <w:rPr>
                      <w:rFonts w:ascii="Calibri" w:hAnsi="Calibri"/>
                      <w:b/>
                      <w:bCs/>
                      <w:sz w:val="20"/>
                      <w:szCs w:val="20"/>
                      <w:lang w:val="en-GB" w:eastAsia="en-US"/>
                    </w:rPr>
                    <w:t>Fiscal Committee</w:t>
                  </w:r>
                </w:p>
                <w:p w:rsidR="00B01D62" w:rsidRDefault="00B01D62">
                  <w:pPr>
                    <w:spacing w:line="276" w:lineRule="auto"/>
                    <w:jc w:val="both"/>
                  </w:pPr>
                  <w:r>
                    <w:rPr>
                      <w:rFonts w:ascii="Calibri" w:hAnsi="Calibri"/>
                      <w:b/>
                      <w:bCs/>
                      <w:sz w:val="20"/>
                      <w:szCs w:val="20"/>
                      <w:lang w:val="en-GB" w:eastAsia="en-US"/>
                    </w:rPr>
                    <w:t xml:space="preserve">       </w:t>
                  </w:r>
                </w:p>
                <w:p w:rsidR="00B01D62" w:rsidRDefault="00B01D62">
                  <w:pPr>
                    <w:spacing w:line="276" w:lineRule="auto"/>
                    <w:jc w:val="both"/>
                  </w:pPr>
                  <w:r>
                    <w:rPr>
                      <w:rFonts w:ascii="Calibri" w:hAnsi="Calibri"/>
                      <w:b/>
                      <w:bCs/>
                      <w:sz w:val="20"/>
                      <w:szCs w:val="20"/>
                      <w:lang w:val="en-GB" w:eastAsia="en-US"/>
                    </w:rPr>
                    <w:t>                                                                                                                                                                          23 June 2014</w:t>
                  </w:r>
                </w:p>
                <w:p w:rsidR="00B01D62" w:rsidRDefault="00B01D62">
                  <w:pPr>
                    <w:pStyle w:val="Lijstalinea"/>
                    <w:spacing w:line="276" w:lineRule="auto"/>
                    <w:ind w:left="1080"/>
                    <w:jc w:val="both"/>
                  </w:pPr>
                  <w:r>
                    <w:rPr>
                      <w:sz w:val="20"/>
                      <w:szCs w:val="20"/>
                      <w:lang w:val="en-GB" w:eastAsia="en-US"/>
                    </w:rPr>
                    <w:t> </w:t>
                  </w:r>
                </w:p>
                <w:p w:rsidR="00B01D62" w:rsidRPr="00B01D62" w:rsidRDefault="00B01D62" w:rsidP="009A68C1">
                  <w:pPr>
                    <w:pStyle w:val="Lijstalinea"/>
                    <w:numPr>
                      <w:ilvl w:val="0"/>
                      <w:numId w:val="1"/>
                    </w:numPr>
                    <w:spacing w:line="276" w:lineRule="auto"/>
                    <w:ind w:left="267" w:hanging="283"/>
                    <w:jc w:val="both"/>
                    <w:rPr>
                      <w:lang w:val="en-GB"/>
                    </w:rPr>
                  </w:pPr>
                  <w:r>
                    <w:rPr>
                      <w:b/>
                      <w:bCs/>
                      <w:sz w:val="20"/>
                      <w:szCs w:val="20"/>
                      <w:lang w:val="en-GB" w:eastAsia="en-US"/>
                    </w:rPr>
                    <w:t xml:space="preserve">EU Council adopts rule against non-taxation of hybrid mismatches in Parent-Subsidiary Directive </w:t>
                  </w:r>
                </w:p>
                <w:p w:rsidR="00B01D62" w:rsidRPr="00B01D62" w:rsidRDefault="00B01D62">
                  <w:pPr>
                    <w:spacing w:line="276" w:lineRule="auto"/>
                    <w:ind w:left="-16" w:firstLine="16"/>
                    <w:jc w:val="both"/>
                    <w:rPr>
                      <w:lang w:val="en-GB"/>
                    </w:rPr>
                  </w:pPr>
                  <w:r>
                    <w:rPr>
                      <w:lang w:val="en-GB" w:eastAsia="en-US"/>
                    </w:rPr>
                    <w:t> </w:t>
                  </w:r>
                </w:p>
                <w:p w:rsidR="00B01D62" w:rsidRPr="00B01D62" w:rsidRDefault="00B01D62">
                  <w:pPr>
                    <w:spacing w:after="240" w:line="276" w:lineRule="auto"/>
                    <w:ind w:left="-16"/>
                    <w:jc w:val="both"/>
                    <w:rPr>
                      <w:lang w:val="en-GB"/>
                    </w:rPr>
                  </w:pPr>
                  <w:hyperlink r:id="rId6" w:history="1">
                    <w:r>
                      <w:rPr>
                        <w:rStyle w:val="Hyperlink"/>
                        <w:rFonts w:ascii="Calibri" w:hAnsi="Calibri"/>
                        <w:color w:val="auto"/>
                        <w:sz w:val="20"/>
                        <w:szCs w:val="20"/>
                        <w:u w:val="none"/>
                        <w:lang w:val="en-GB" w:eastAsia="en-US"/>
                      </w:rPr>
                      <w:t>On</w:t>
                    </w:r>
                  </w:hyperlink>
                  <w:r>
                    <w:rPr>
                      <w:rFonts w:ascii="Calibri" w:hAnsi="Calibri"/>
                      <w:sz w:val="20"/>
                      <w:szCs w:val="20"/>
                      <w:lang w:val="en-GB" w:eastAsia="en-US"/>
                    </w:rPr>
                    <w:t xml:space="preserve"> 20 June 2014, the EU Council has adopted the revised Parent-Subsidiary Directive, including a subject to tax clause obliging the member state of a parent company to tax a payment received from its subsidiary in another member state to the extent that this payment is deductible in the member state of the subsidiary. Unanimity could finally be reached after the more contentious introduction of a harmonised general anti-abuse rule had been postponed and additional statements by the Commission were included in the Council minutes saying that the subject to tax clause is meant to cover only mismatches generating unintended benefits and that the application of the rule should not lead to double taxation.</w:t>
                  </w:r>
                </w:p>
                <w:p w:rsidR="00B01D62" w:rsidRDefault="00B01D62" w:rsidP="009A68C1">
                  <w:pPr>
                    <w:pStyle w:val="Lijstalinea"/>
                    <w:numPr>
                      <w:ilvl w:val="0"/>
                      <w:numId w:val="2"/>
                    </w:numPr>
                    <w:spacing w:line="276" w:lineRule="auto"/>
                    <w:ind w:left="693" w:hanging="284"/>
                    <w:jc w:val="both"/>
                  </w:pPr>
                  <w:hyperlink r:id="rId7" w:history="1">
                    <w:r>
                      <w:rPr>
                        <w:rStyle w:val="Hyperlink"/>
                        <w:sz w:val="20"/>
                        <w:szCs w:val="20"/>
                        <w:lang w:val="en-GB" w:eastAsia="en-US"/>
                      </w:rPr>
                      <w:t>Council press release</w:t>
                    </w:r>
                  </w:hyperlink>
                </w:p>
                <w:p w:rsidR="00B01D62" w:rsidRPr="00B01D62" w:rsidRDefault="00B01D62" w:rsidP="009A68C1">
                  <w:pPr>
                    <w:pStyle w:val="Lijstalinea"/>
                    <w:numPr>
                      <w:ilvl w:val="0"/>
                      <w:numId w:val="2"/>
                    </w:numPr>
                    <w:spacing w:line="276" w:lineRule="auto"/>
                    <w:ind w:left="693" w:hanging="284"/>
                    <w:jc w:val="both"/>
                    <w:rPr>
                      <w:lang w:val="en-GB"/>
                    </w:rPr>
                  </w:pPr>
                  <w:hyperlink r:id="rId8" w:history="1">
                    <w:r>
                      <w:rPr>
                        <w:rStyle w:val="Hyperlink"/>
                        <w:sz w:val="20"/>
                        <w:szCs w:val="20"/>
                        <w:lang w:val="en-GB" w:eastAsia="en-US"/>
                      </w:rPr>
                      <w:t>Explanation and text of the PSD amendment</w:t>
                    </w:r>
                  </w:hyperlink>
                </w:p>
                <w:p w:rsidR="00B01D62" w:rsidRPr="00B01D62" w:rsidRDefault="00B01D62">
                  <w:pPr>
                    <w:pStyle w:val="Lijstalinea"/>
                    <w:spacing w:line="276" w:lineRule="auto"/>
                    <w:jc w:val="both"/>
                    <w:rPr>
                      <w:lang w:val="en-GB"/>
                    </w:rPr>
                  </w:pPr>
                  <w:r>
                    <w:rPr>
                      <w:b/>
                      <w:bCs/>
                      <w:sz w:val="20"/>
                      <w:szCs w:val="20"/>
                      <w:lang w:val="en-GB" w:eastAsia="en-US"/>
                    </w:rPr>
                    <w:t> </w:t>
                  </w:r>
                </w:p>
                <w:p w:rsidR="00B01D62" w:rsidRPr="00B01D62" w:rsidRDefault="00B01D62">
                  <w:pPr>
                    <w:autoSpaceDE w:val="0"/>
                    <w:autoSpaceDN w:val="0"/>
                    <w:spacing w:line="276" w:lineRule="auto"/>
                    <w:jc w:val="both"/>
                    <w:rPr>
                      <w:lang w:val="en-GB"/>
                    </w:rPr>
                  </w:pPr>
                  <w:r>
                    <w:rPr>
                      <w:rFonts w:ascii="Calibri" w:hAnsi="Calibri"/>
                      <w:b/>
                      <w:bCs/>
                      <w:color w:val="222222"/>
                      <w:sz w:val="20"/>
                      <w:szCs w:val="20"/>
                      <w:lang w:val="en-GB" w:eastAsia="en-US"/>
                    </w:rPr>
                    <w:t>2-  Taxation trends 2014 publication reports taxes on the rise</w:t>
                  </w:r>
                </w:p>
                <w:p w:rsidR="00B01D62" w:rsidRPr="00B01D62" w:rsidRDefault="00B01D62">
                  <w:pPr>
                    <w:pStyle w:val="Lijstalinea"/>
                    <w:spacing w:line="276" w:lineRule="auto"/>
                    <w:ind w:left="-16" w:firstLine="16"/>
                    <w:jc w:val="both"/>
                    <w:rPr>
                      <w:lang w:val="en-GB"/>
                    </w:rPr>
                  </w:pPr>
                  <w:r>
                    <w:rPr>
                      <w:sz w:val="20"/>
                      <w:szCs w:val="20"/>
                      <w:lang w:val="en-GB" w:eastAsia="en-US"/>
                    </w:rPr>
                    <w:t> </w:t>
                  </w:r>
                </w:p>
                <w:p w:rsidR="00B01D62" w:rsidRPr="00B01D62" w:rsidRDefault="00B01D62">
                  <w:pPr>
                    <w:pStyle w:val="Lijstalinea"/>
                    <w:spacing w:line="276" w:lineRule="auto"/>
                    <w:ind w:left="-16" w:firstLine="16"/>
                    <w:jc w:val="both"/>
                    <w:rPr>
                      <w:lang w:val="en-GB"/>
                    </w:rPr>
                  </w:pPr>
                  <w:r>
                    <w:rPr>
                      <w:sz w:val="20"/>
                      <w:szCs w:val="20"/>
                      <w:lang w:val="en-GB" w:eastAsia="en-US"/>
                    </w:rPr>
                    <w:t>The EU´s statistical office Eurostat has published its annual tax statistical overview “Taxation trends in the European Union” containing detailed statistical and economic analysis of the tax systems, revenue trends and the main recent policy changes of the EU member states, plus Iceland and Norway. The data covers the 2000-2012 period.</w:t>
                  </w:r>
                </w:p>
                <w:p w:rsidR="00B01D62" w:rsidRPr="00B01D62" w:rsidRDefault="00B01D62">
                  <w:pPr>
                    <w:pStyle w:val="Lijstalinea"/>
                    <w:spacing w:line="276" w:lineRule="auto"/>
                    <w:ind w:left="-16" w:firstLine="16"/>
                    <w:jc w:val="both"/>
                    <w:rPr>
                      <w:lang w:val="en-GB"/>
                    </w:rPr>
                  </w:pPr>
                  <w:r>
                    <w:rPr>
                      <w:sz w:val="20"/>
                      <w:szCs w:val="20"/>
                      <w:lang w:val="en-GB" w:eastAsia="en-US"/>
                    </w:rPr>
                    <w:t>While the tax to GDP-ratio has risen to 39.4% (40.4% in the Euro area) in 2012, the main source of revenue was still labour income, accounting for 51% of tax income.</w:t>
                  </w:r>
                </w:p>
                <w:p w:rsidR="00B01D62" w:rsidRPr="00B01D62" w:rsidRDefault="00B01D62">
                  <w:pPr>
                    <w:pStyle w:val="Lijstalinea"/>
                    <w:spacing w:line="276" w:lineRule="auto"/>
                    <w:ind w:left="1080"/>
                    <w:jc w:val="both"/>
                    <w:rPr>
                      <w:lang w:val="en-GB"/>
                    </w:rPr>
                  </w:pPr>
                  <w:r>
                    <w:rPr>
                      <w:sz w:val="20"/>
                      <w:szCs w:val="20"/>
                      <w:lang w:val="en-GB" w:eastAsia="en-US"/>
                    </w:rPr>
                    <w:t> </w:t>
                  </w:r>
                </w:p>
                <w:p w:rsidR="00B01D62" w:rsidRDefault="00B01D62" w:rsidP="009A68C1">
                  <w:pPr>
                    <w:pStyle w:val="Lijstalinea"/>
                    <w:numPr>
                      <w:ilvl w:val="0"/>
                      <w:numId w:val="2"/>
                    </w:numPr>
                    <w:spacing w:line="276" w:lineRule="auto"/>
                    <w:jc w:val="both"/>
                  </w:pPr>
                  <w:hyperlink r:id="rId9" w:history="1">
                    <w:r>
                      <w:rPr>
                        <w:rStyle w:val="Hyperlink"/>
                        <w:sz w:val="20"/>
                        <w:szCs w:val="20"/>
                        <w:lang w:val="en-GB" w:eastAsia="en-US"/>
                      </w:rPr>
                      <w:t>Eurostat press release </w:t>
                    </w:r>
                  </w:hyperlink>
                </w:p>
                <w:p w:rsidR="00B01D62" w:rsidRDefault="00B01D62" w:rsidP="009A68C1">
                  <w:pPr>
                    <w:pStyle w:val="Lijstalinea"/>
                    <w:numPr>
                      <w:ilvl w:val="0"/>
                      <w:numId w:val="2"/>
                    </w:numPr>
                    <w:spacing w:line="276" w:lineRule="auto"/>
                    <w:jc w:val="both"/>
                  </w:pPr>
                  <w:hyperlink r:id="rId10" w:history="1">
                    <w:r>
                      <w:rPr>
                        <w:rStyle w:val="Hyperlink"/>
                        <w:sz w:val="20"/>
                        <w:szCs w:val="20"/>
                        <w:lang w:val="en-GB" w:eastAsia="en-US"/>
                      </w:rPr>
                      <w:t>Short presentation</w:t>
                    </w:r>
                  </w:hyperlink>
                </w:p>
                <w:p w:rsidR="00B01D62" w:rsidRPr="00B01D62" w:rsidRDefault="00B01D62" w:rsidP="009A68C1">
                  <w:pPr>
                    <w:pStyle w:val="Lijstalinea"/>
                    <w:numPr>
                      <w:ilvl w:val="0"/>
                      <w:numId w:val="2"/>
                    </w:numPr>
                    <w:spacing w:line="276" w:lineRule="auto"/>
                    <w:jc w:val="both"/>
                    <w:rPr>
                      <w:lang w:val="en-GB"/>
                    </w:rPr>
                  </w:pPr>
                  <w:hyperlink r:id="rId11" w:history="1">
                    <w:r>
                      <w:rPr>
                        <w:rStyle w:val="Hyperlink"/>
                        <w:sz w:val="20"/>
                        <w:szCs w:val="20"/>
                        <w:lang w:val="en-GB" w:eastAsia="en-US"/>
                      </w:rPr>
                      <w:t>Full report</w:t>
                    </w:r>
                  </w:hyperlink>
                  <w:r>
                    <w:rPr>
                      <w:sz w:val="20"/>
                      <w:szCs w:val="20"/>
                      <w:lang w:val="en-GB" w:eastAsia="en-US"/>
                    </w:rPr>
                    <w:t xml:space="preserve"> including data on EU member states, Iceland and Norway</w:t>
                  </w:r>
                </w:p>
                <w:p w:rsidR="00B01D62" w:rsidRDefault="00B01D62" w:rsidP="009A68C1">
                  <w:pPr>
                    <w:pStyle w:val="Lijstalinea"/>
                    <w:numPr>
                      <w:ilvl w:val="0"/>
                      <w:numId w:val="2"/>
                    </w:numPr>
                    <w:spacing w:line="276" w:lineRule="auto"/>
                    <w:jc w:val="both"/>
                  </w:pPr>
                  <w:hyperlink r:id="rId12" w:history="1">
                    <w:r>
                      <w:rPr>
                        <w:rStyle w:val="Hyperlink"/>
                        <w:sz w:val="20"/>
                        <w:szCs w:val="20"/>
                        <w:lang w:val="en-GB" w:eastAsia="en-US"/>
                      </w:rPr>
                      <w:t>Country chapters</w:t>
                    </w:r>
                  </w:hyperlink>
                </w:p>
                <w:p w:rsidR="00B01D62" w:rsidRDefault="00B01D62" w:rsidP="009A68C1">
                  <w:pPr>
                    <w:pStyle w:val="Lijstalinea"/>
                    <w:numPr>
                      <w:ilvl w:val="0"/>
                      <w:numId w:val="2"/>
                    </w:numPr>
                    <w:spacing w:line="276" w:lineRule="auto"/>
                    <w:jc w:val="both"/>
                  </w:pPr>
                  <w:hyperlink r:id="rId13" w:history="1">
                    <w:r>
                      <w:rPr>
                        <w:rStyle w:val="Hyperlink"/>
                        <w:sz w:val="20"/>
                        <w:szCs w:val="20"/>
                        <w:lang w:val="en-GB" w:eastAsia="en-US"/>
                      </w:rPr>
                      <w:t>Revenue data by individual tax</w:t>
                    </w:r>
                  </w:hyperlink>
                </w:p>
                <w:p w:rsidR="00B01D62" w:rsidRDefault="00B01D62" w:rsidP="009A68C1">
                  <w:pPr>
                    <w:pStyle w:val="Lijstalinea"/>
                    <w:numPr>
                      <w:ilvl w:val="0"/>
                      <w:numId w:val="2"/>
                    </w:numPr>
                    <w:spacing w:line="276" w:lineRule="auto"/>
                    <w:jc w:val="both"/>
                  </w:pPr>
                  <w:hyperlink r:id="rId14" w:history="1">
                    <w:r>
                      <w:rPr>
                        <w:rStyle w:val="Hyperlink"/>
                        <w:sz w:val="20"/>
                        <w:szCs w:val="20"/>
                        <w:lang w:val="en-GB" w:eastAsia="en-US"/>
                      </w:rPr>
                      <w:t>Dedicated European Commission website</w:t>
                    </w:r>
                  </w:hyperlink>
                </w:p>
                <w:p w:rsidR="00B01D62" w:rsidRDefault="00B01D62">
                  <w:pPr>
                    <w:spacing w:line="276" w:lineRule="auto"/>
                    <w:jc w:val="both"/>
                  </w:pPr>
                  <w:r>
                    <w:t> </w:t>
                  </w:r>
                </w:p>
                <w:p w:rsidR="00B01D62" w:rsidRDefault="00B01D62">
                  <w:pPr>
                    <w:spacing w:line="276" w:lineRule="auto"/>
                    <w:jc w:val="both"/>
                  </w:pPr>
                  <w:r>
                    <w:rPr>
                      <w:rFonts w:ascii="Calibri" w:hAnsi="Calibri"/>
                      <w:sz w:val="20"/>
                      <w:szCs w:val="20"/>
                      <w:lang w:val="en-GB" w:eastAsia="en-US"/>
                    </w:rPr>
                    <w:t> </w:t>
                  </w:r>
                </w:p>
                <w:p w:rsidR="00B01D62" w:rsidRPr="00B01D62" w:rsidRDefault="00B01D62">
                  <w:pPr>
                    <w:spacing w:line="276" w:lineRule="auto"/>
                    <w:jc w:val="both"/>
                    <w:rPr>
                      <w:lang w:val="en-GB"/>
                    </w:rPr>
                  </w:pPr>
                  <w:r>
                    <w:rPr>
                      <w:rFonts w:ascii="Calibri" w:hAnsi="Calibri"/>
                      <w:b/>
                      <w:bCs/>
                      <w:sz w:val="20"/>
                      <w:szCs w:val="20"/>
                      <w:lang w:val="en-GB" w:eastAsia="en-US"/>
                    </w:rPr>
                    <w:t>3- VAT: Commission publishes additional guidelines on auditing for Mini One Stop Shops</w:t>
                  </w:r>
                </w:p>
                <w:p w:rsidR="00B01D62" w:rsidRPr="00B01D62" w:rsidRDefault="00B01D62">
                  <w:pPr>
                    <w:spacing w:line="276" w:lineRule="auto"/>
                    <w:jc w:val="both"/>
                    <w:rPr>
                      <w:lang w:val="en-GB"/>
                    </w:rPr>
                  </w:pPr>
                  <w:r>
                    <w:rPr>
                      <w:rFonts w:ascii="Calibri" w:hAnsi="Calibri"/>
                      <w:b/>
                      <w:bCs/>
                      <w:sz w:val="20"/>
                      <w:szCs w:val="20"/>
                      <w:lang w:val="en-GB" w:eastAsia="en-US"/>
                    </w:rPr>
                    <w:t> </w:t>
                  </w:r>
                </w:p>
                <w:p w:rsidR="00B01D62" w:rsidRPr="00B01D62" w:rsidRDefault="00B01D62">
                  <w:pPr>
                    <w:spacing w:after="240" w:line="276" w:lineRule="auto"/>
                    <w:jc w:val="both"/>
                    <w:rPr>
                      <w:lang w:val="en-GB"/>
                    </w:rPr>
                  </w:pPr>
                  <w:r>
                    <w:rPr>
                      <w:rFonts w:ascii="Calibri" w:hAnsi="Calibri"/>
                      <w:sz w:val="20"/>
                      <w:szCs w:val="20"/>
                      <w:lang w:val="en-GB" w:eastAsia="en-US"/>
                    </w:rPr>
                    <w:t xml:space="preserve">On 19 June 2014, the European Commission has published additional guidelines on auditing under the VAT One Stop Shop rules that will apply as of 2015 for providers of e-services, telecommunication and </w:t>
                  </w:r>
                  <w:r>
                    <w:rPr>
                      <w:rFonts w:ascii="Calibri" w:hAnsi="Calibri"/>
                      <w:sz w:val="20"/>
                      <w:szCs w:val="20"/>
                      <w:lang w:val="en-GB" w:eastAsia="en-US"/>
                    </w:rPr>
                    <w:lastRenderedPageBreak/>
                    <w:t>broadcasting. These supplement the guidelines issues in October 2013. Translation of the additional guidelines into other languages than English is planned.</w:t>
                  </w:r>
                </w:p>
                <w:p w:rsidR="00B01D62" w:rsidRDefault="00B01D62" w:rsidP="009A68C1">
                  <w:pPr>
                    <w:pStyle w:val="Lijstalinea"/>
                    <w:numPr>
                      <w:ilvl w:val="0"/>
                      <w:numId w:val="2"/>
                    </w:numPr>
                    <w:spacing w:line="276" w:lineRule="auto"/>
                    <w:jc w:val="both"/>
                  </w:pPr>
                  <w:hyperlink r:id="rId15" w:history="1">
                    <w:proofErr w:type="spellStart"/>
                    <w:r>
                      <w:rPr>
                        <w:rStyle w:val="Hyperlink"/>
                        <w:lang w:eastAsia="en-US"/>
                      </w:rPr>
                      <w:t>Additional</w:t>
                    </w:r>
                    <w:proofErr w:type="spellEnd"/>
                    <w:r>
                      <w:rPr>
                        <w:rStyle w:val="Hyperlink"/>
                        <w:lang w:eastAsia="en-US"/>
                      </w:rPr>
                      <w:t xml:space="preserve"> </w:t>
                    </w:r>
                    <w:proofErr w:type="spellStart"/>
                    <w:r>
                      <w:rPr>
                        <w:rStyle w:val="Hyperlink"/>
                        <w:lang w:eastAsia="en-US"/>
                      </w:rPr>
                      <w:t>guidelines</w:t>
                    </w:r>
                    <w:proofErr w:type="spellEnd"/>
                  </w:hyperlink>
                </w:p>
                <w:p w:rsidR="00B01D62" w:rsidRPr="00B01D62" w:rsidRDefault="00B01D62" w:rsidP="009A68C1">
                  <w:pPr>
                    <w:pStyle w:val="Lijstalinea"/>
                    <w:numPr>
                      <w:ilvl w:val="0"/>
                      <w:numId w:val="2"/>
                    </w:numPr>
                    <w:spacing w:line="276" w:lineRule="auto"/>
                    <w:jc w:val="both"/>
                    <w:rPr>
                      <w:lang w:val="en-GB"/>
                    </w:rPr>
                  </w:pPr>
                  <w:hyperlink r:id="rId16" w:history="1">
                    <w:r>
                      <w:rPr>
                        <w:rStyle w:val="Hyperlink"/>
                        <w:lang w:val="en-GB" w:eastAsia="en-US"/>
                      </w:rPr>
                      <w:t>Guide to the Mini One Stop Shop</w:t>
                    </w:r>
                  </w:hyperlink>
                  <w:r>
                    <w:rPr>
                      <w:lang w:val="en-GB" w:eastAsia="en-US"/>
                    </w:rPr>
                    <w:t xml:space="preserve"> (2013)</w:t>
                  </w:r>
                </w:p>
                <w:p w:rsidR="00B01D62" w:rsidRPr="00B01D62" w:rsidRDefault="00B01D62">
                  <w:pPr>
                    <w:pStyle w:val="Lijstalinea"/>
                    <w:spacing w:line="276" w:lineRule="auto"/>
                    <w:ind w:left="1080"/>
                    <w:jc w:val="both"/>
                    <w:rPr>
                      <w:lang w:val="en-GB"/>
                    </w:rPr>
                  </w:pPr>
                  <w:r>
                    <w:rPr>
                      <w:lang w:val="en-GB" w:eastAsia="en-US"/>
                    </w:rPr>
                    <w:t> </w:t>
                  </w:r>
                </w:p>
                <w:p w:rsidR="00B01D62" w:rsidRPr="00B01D62" w:rsidRDefault="00B01D62">
                  <w:pPr>
                    <w:pStyle w:val="Lijstalinea"/>
                    <w:spacing w:line="276" w:lineRule="auto"/>
                    <w:ind w:left="1080"/>
                    <w:jc w:val="both"/>
                    <w:rPr>
                      <w:lang w:val="en-GB"/>
                    </w:rPr>
                  </w:pPr>
                  <w:r>
                    <w:rPr>
                      <w:sz w:val="20"/>
                      <w:szCs w:val="20"/>
                      <w:lang w:val="en-GB" w:eastAsia="en-US"/>
                    </w:rPr>
                    <w:t> </w:t>
                  </w:r>
                </w:p>
                <w:p w:rsidR="00B01D62" w:rsidRPr="00B01D62" w:rsidRDefault="00B01D62">
                  <w:pPr>
                    <w:pStyle w:val="Lijstalinea"/>
                    <w:spacing w:line="276" w:lineRule="auto"/>
                    <w:ind w:left="-16"/>
                    <w:jc w:val="both"/>
                    <w:rPr>
                      <w:lang w:val="en-GB"/>
                    </w:rPr>
                  </w:pPr>
                  <w:r>
                    <w:rPr>
                      <w:b/>
                      <w:bCs/>
                      <w:sz w:val="20"/>
                      <w:szCs w:val="20"/>
                      <w:lang w:val="en-GB" w:eastAsia="en-US"/>
                    </w:rPr>
                    <w:t>4- VAT: Business survey on the destination principle</w:t>
                  </w:r>
                  <w:r>
                    <w:rPr>
                      <w:sz w:val="20"/>
                      <w:szCs w:val="20"/>
                      <w:lang w:val="en-GB" w:eastAsia="en-US"/>
                    </w:rPr>
                    <w:t xml:space="preserve"> – </w:t>
                  </w:r>
                  <w:r>
                    <w:rPr>
                      <w:b/>
                      <w:bCs/>
                      <w:sz w:val="20"/>
                      <w:szCs w:val="20"/>
                      <w:lang w:val="en-GB" w:eastAsia="en-US"/>
                    </w:rPr>
                    <w:t>Expert Group adopts opinion on regime for intra-EU B2B supplies of goods</w:t>
                  </w:r>
                </w:p>
                <w:p w:rsidR="00B01D62" w:rsidRPr="00B01D62" w:rsidRDefault="00B01D62">
                  <w:pPr>
                    <w:pStyle w:val="Lijstalinea"/>
                    <w:spacing w:line="276" w:lineRule="auto"/>
                    <w:ind w:left="-16"/>
                    <w:jc w:val="both"/>
                    <w:rPr>
                      <w:lang w:val="en-GB"/>
                    </w:rPr>
                  </w:pPr>
                  <w:r>
                    <w:rPr>
                      <w:sz w:val="20"/>
                      <w:szCs w:val="20"/>
                      <w:lang w:val="en-GB" w:eastAsia="en-US"/>
                    </w:rPr>
                    <w:t> </w:t>
                  </w:r>
                </w:p>
                <w:p w:rsidR="00B01D62" w:rsidRPr="00B01D62" w:rsidRDefault="00B01D62">
                  <w:pPr>
                    <w:pStyle w:val="Lijstalinea"/>
                    <w:spacing w:line="276" w:lineRule="auto"/>
                    <w:ind w:left="0" w:hanging="16"/>
                    <w:jc w:val="both"/>
                    <w:rPr>
                      <w:lang w:val="en-GB"/>
                    </w:rPr>
                  </w:pPr>
                  <w:r>
                    <w:rPr>
                      <w:sz w:val="20"/>
                      <w:szCs w:val="20"/>
                      <w:lang w:val="en-GB" w:eastAsia="en-US"/>
                    </w:rPr>
                    <w:t>On 12 June 2014, the VAT Expert Group adopted an opinion on the definitive VAT regime for the taxation of intra-EU B2B supplies of goods. The Group encourages business to take part in the survey related to the ongoing study on applying the ‘destination principle’ to intra-EU B2B supplies of goods.</w:t>
                  </w:r>
                </w:p>
                <w:p w:rsidR="00B01D62" w:rsidRPr="00B01D62" w:rsidRDefault="00B01D62">
                  <w:pPr>
                    <w:pStyle w:val="Lijstalinea"/>
                    <w:spacing w:line="276" w:lineRule="auto"/>
                    <w:ind w:left="0" w:hanging="16"/>
                    <w:jc w:val="both"/>
                    <w:rPr>
                      <w:lang w:val="en-GB"/>
                    </w:rPr>
                  </w:pPr>
                  <w:r>
                    <w:rPr>
                      <w:sz w:val="20"/>
                      <w:szCs w:val="20"/>
                      <w:lang w:val="en-GB" w:eastAsia="en-US"/>
                    </w:rPr>
                    <w:t> </w:t>
                  </w:r>
                </w:p>
                <w:p w:rsidR="00B01D62" w:rsidRDefault="00B01D62" w:rsidP="009A68C1">
                  <w:pPr>
                    <w:pStyle w:val="Lijstalinea"/>
                    <w:numPr>
                      <w:ilvl w:val="0"/>
                      <w:numId w:val="2"/>
                    </w:numPr>
                    <w:spacing w:line="276" w:lineRule="auto"/>
                    <w:jc w:val="both"/>
                  </w:pPr>
                  <w:hyperlink r:id="rId17" w:tgtFrame="_blank" w:history="1">
                    <w:r>
                      <w:rPr>
                        <w:rStyle w:val="Hyperlink"/>
                        <w:sz w:val="20"/>
                        <w:szCs w:val="20"/>
                        <w:lang w:eastAsia="en-US"/>
                      </w:rPr>
                      <w:t xml:space="preserve">VAT Expert Group </w:t>
                    </w:r>
                    <w:r>
                      <w:rPr>
                        <w:rStyle w:val="Hyperlink"/>
                        <w:sz w:val="20"/>
                        <w:szCs w:val="20"/>
                        <w:lang w:val="en-GB" w:eastAsia="en-US"/>
                      </w:rPr>
                      <w:t>Opinion</w:t>
                    </w:r>
                  </w:hyperlink>
                </w:p>
                <w:p w:rsidR="00B01D62" w:rsidRPr="00B01D62" w:rsidRDefault="00B01D62" w:rsidP="009A68C1">
                  <w:pPr>
                    <w:pStyle w:val="Lijstalinea"/>
                    <w:numPr>
                      <w:ilvl w:val="0"/>
                      <w:numId w:val="2"/>
                    </w:numPr>
                    <w:spacing w:line="276" w:lineRule="auto"/>
                    <w:jc w:val="both"/>
                    <w:rPr>
                      <w:lang w:val="en-GB"/>
                    </w:rPr>
                  </w:pPr>
                  <w:r>
                    <w:rPr>
                      <w:sz w:val="20"/>
                      <w:szCs w:val="20"/>
                      <w:lang w:val="en-GB" w:eastAsia="en-US"/>
                    </w:rPr>
                    <w:t xml:space="preserve">Business survey in </w:t>
                  </w:r>
                  <w:hyperlink r:id="rId18" w:tgtFrame="_blank" w:history="1">
                    <w:r>
                      <w:rPr>
                        <w:rStyle w:val="Hyperlink"/>
                        <w:sz w:val="20"/>
                        <w:szCs w:val="20"/>
                        <w:lang w:val="en-GB" w:eastAsia="en-US"/>
                      </w:rPr>
                      <w:t>English</w:t>
                    </w:r>
                  </w:hyperlink>
                  <w:r>
                    <w:rPr>
                      <w:sz w:val="20"/>
                      <w:szCs w:val="20"/>
                      <w:lang w:val="en-GB" w:eastAsia="en-US"/>
                    </w:rPr>
                    <w:t xml:space="preserve"> , </w:t>
                  </w:r>
                  <w:hyperlink r:id="rId19" w:tgtFrame="_blank" w:history="1">
                    <w:r>
                      <w:rPr>
                        <w:rStyle w:val="Hyperlink"/>
                        <w:sz w:val="20"/>
                        <w:szCs w:val="20"/>
                        <w:lang w:val="en-GB" w:eastAsia="en-US"/>
                      </w:rPr>
                      <w:t>French, German, Italian, Spanish, Polish</w:t>
                    </w:r>
                  </w:hyperlink>
                </w:p>
                <w:p w:rsidR="00B01D62" w:rsidRPr="00B01D62" w:rsidRDefault="00B01D62">
                  <w:pPr>
                    <w:pStyle w:val="Lijstalinea"/>
                    <w:spacing w:line="276" w:lineRule="auto"/>
                    <w:ind w:left="1080"/>
                    <w:jc w:val="both"/>
                    <w:rPr>
                      <w:lang w:val="en-GB"/>
                    </w:rPr>
                  </w:pPr>
                  <w:r>
                    <w:rPr>
                      <w:sz w:val="20"/>
                      <w:szCs w:val="20"/>
                      <w:lang w:val="en-GB" w:eastAsia="en-US"/>
                    </w:rPr>
                    <w:t> </w:t>
                  </w:r>
                </w:p>
                <w:p w:rsidR="00B01D62" w:rsidRPr="00B01D62" w:rsidRDefault="00B01D62">
                  <w:pPr>
                    <w:spacing w:line="276" w:lineRule="auto"/>
                    <w:jc w:val="center"/>
                    <w:rPr>
                      <w:lang w:val="en-GB"/>
                    </w:rPr>
                  </w:pPr>
                  <w:r>
                    <w:rPr>
                      <w:rFonts w:ascii="Calibri" w:hAnsi="Calibri"/>
                      <w:sz w:val="20"/>
                      <w:szCs w:val="20"/>
                      <w:lang w:val="en-GB" w:eastAsia="en-US"/>
                    </w:rPr>
                    <w:t>*****</w:t>
                  </w:r>
                </w:p>
                <w:p w:rsidR="00B01D62" w:rsidRPr="00B01D62" w:rsidRDefault="00B01D62">
                  <w:pPr>
                    <w:spacing w:line="276" w:lineRule="auto"/>
                    <w:jc w:val="both"/>
                    <w:rPr>
                      <w:lang w:val="en-GB"/>
                    </w:rPr>
                  </w:pPr>
                  <w:r>
                    <w:rPr>
                      <w:rFonts w:ascii="Calibri" w:hAnsi="Calibri"/>
                      <w:sz w:val="20"/>
                      <w:szCs w:val="20"/>
                      <w:lang w:val="en-GB" w:eastAsia="en-US"/>
                    </w:rPr>
                    <w:t> </w:t>
                  </w:r>
                </w:p>
                <w:p w:rsidR="00B01D62" w:rsidRPr="00B01D62" w:rsidRDefault="00B01D62">
                  <w:pPr>
                    <w:pStyle w:val="Lijstalinea"/>
                    <w:spacing w:line="276" w:lineRule="auto"/>
                    <w:ind w:left="126"/>
                    <w:jc w:val="center"/>
                    <w:rPr>
                      <w:lang w:val="en-GB"/>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p>
                <w:p w:rsidR="00B01D62" w:rsidRPr="00B01D62" w:rsidRDefault="00B01D62">
                  <w:pPr>
                    <w:pStyle w:val="Lijstalinea"/>
                    <w:spacing w:line="276" w:lineRule="auto"/>
                    <w:ind w:left="126"/>
                    <w:jc w:val="center"/>
                    <w:rPr>
                      <w:lang w:val="en-GB"/>
                    </w:rPr>
                  </w:pPr>
                  <w:r>
                    <w:rPr>
                      <w:i/>
                      <w:iCs/>
                      <w:sz w:val="20"/>
                      <w:szCs w:val="20"/>
                      <w:lang w:val="en-GB" w:eastAsia="en-US"/>
                    </w:rPr>
                    <w:t> </w:t>
                  </w:r>
                </w:p>
                <w:p w:rsidR="00B01D62" w:rsidRDefault="00B01D62">
                  <w:pPr>
                    <w:pStyle w:val="Lijstalinea"/>
                    <w:spacing w:line="276" w:lineRule="auto"/>
                    <w:ind w:left="126"/>
                    <w:jc w:val="center"/>
                  </w:pPr>
                  <w:hyperlink r:id="rId20" w:history="1">
                    <w:r>
                      <w:rPr>
                        <w:rStyle w:val="Hyperlink"/>
                        <w:i/>
                        <w:iCs/>
                        <w:sz w:val="20"/>
                        <w:szCs w:val="20"/>
                        <w:lang w:val="en-GB" w:eastAsia="en-US"/>
                      </w:rPr>
                      <w:t>www.cfe-eutax.org</w:t>
                    </w:r>
                  </w:hyperlink>
                </w:p>
              </w:tc>
            </w:tr>
            <w:tr w:rsidR="00B01D62">
              <w:trPr>
                <w:tblCellSpacing w:w="0" w:type="dxa"/>
              </w:trPr>
              <w:tc>
                <w:tcPr>
                  <w:tcW w:w="8154" w:type="dxa"/>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0"/>
                  </w:tblGrid>
                  <w:tr w:rsidR="00B01D62">
                    <w:trPr>
                      <w:tblCellSpacing w:w="0" w:type="dxa"/>
                    </w:trPr>
                    <w:tc>
                      <w:tcPr>
                        <w:tcW w:w="0" w:type="auto"/>
                        <w:vAlign w:val="center"/>
                        <w:hideMark/>
                      </w:tcPr>
                      <w:p w:rsidR="00B01D62" w:rsidRDefault="00B01D62">
                        <w:pPr>
                          <w:spacing w:line="276" w:lineRule="auto"/>
                        </w:pPr>
                        <w:r>
                          <w:rPr>
                            <w:rFonts w:ascii="Calibri" w:hAnsi="Calibri"/>
                            <w:sz w:val="22"/>
                            <w:szCs w:val="22"/>
                            <w:lang w:val="en-GB" w:eastAsia="en-US"/>
                          </w:rPr>
                          <w:lastRenderedPageBreak/>
                          <w:t> </w:t>
                        </w:r>
                      </w:p>
                    </w:tc>
                  </w:tr>
                </w:tbl>
                <w:p w:rsidR="00B01D62" w:rsidRDefault="00B01D62">
                  <w:pPr>
                    <w:rPr>
                      <w:rFonts w:eastAsia="Times New Roman"/>
                      <w:sz w:val="20"/>
                      <w:szCs w:val="20"/>
                    </w:rPr>
                  </w:pPr>
                </w:p>
              </w:tc>
            </w:tr>
          </w:tbl>
          <w:p w:rsidR="00B01D62" w:rsidRDefault="00B01D62">
            <w:pPr>
              <w:rPr>
                <w:rFonts w:eastAsia="Times New Roman"/>
                <w:sz w:val="20"/>
                <w:szCs w:val="20"/>
              </w:rPr>
            </w:pPr>
          </w:p>
        </w:tc>
      </w:tr>
    </w:tbl>
    <w:p w:rsidR="00B01D62" w:rsidRDefault="00B01D62" w:rsidP="00B01D62">
      <w:r>
        <w:rPr>
          <w:rFonts w:ascii="Calibri" w:hAnsi="Calibri"/>
          <w:sz w:val="22"/>
          <w:szCs w:val="22"/>
        </w:rPr>
        <w:lastRenderedPageBreak/>
        <w:t> </w:t>
      </w:r>
    </w:p>
    <w:p w:rsidR="00205106" w:rsidRDefault="00205106"/>
    <w:sectPr w:rsidR="00205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77C0F"/>
    <w:multiLevelType w:val="hybridMultilevel"/>
    <w:tmpl w:val="4CB05B42"/>
    <w:lvl w:ilvl="0" w:tplc="04FCABCC">
      <w:start w:val="1"/>
      <w:numFmt w:val="bullet"/>
      <w:lvlText w:val="-"/>
      <w:lvlJc w:val="left"/>
      <w:pPr>
        <w:ind w:left="1080" w:hanging="360"/>
      </w:pPr>
      <w:rPr>
        <w:rFonts w:ascii="Calibri" w:eastAsia="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36105223"/>
    <w:multiLevelType w:val="hybridMultilevel"/>
    <w:tmpl w:val="DAC41AF8"/>
    <w:lvl w:ilvl="0" w:tplc="B496654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62"/>
    <w:rsid w:val="00205106"/>
    <w:rsid w:val="003B7674"/>
    <w:rsid w:val="00B01D62"/>
    <w:rsid w:val="00B214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73435-182E-43FB-A63F-D835E553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1D62"/>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01D62"/>
    <w:rPr>
      <w:color w:val="0000FF"/>
      <w:u w:val="single"/>
    </w:rPr>
  </w:style>
  <w:style w:type="paragraph" w:styleId="Lijstalinea">
    <w:name w:val="List Paragraph"/>
    <w:basedOn w:val="Standaard"/>
    <w:uiPriority w:val="34"/>
    <w:qFormat/>
    <w:rsid w:val="00B01D62"/>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7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er.consilium.europa.eu/doc/srv?l=EN&amp;f=ST%2010419%202014%20INIT" TargetMode="External"/><Relationship Id="rId13" Type="http://schemas.openxmlformats.org/officeDocument/2006/relationships/hyperlink" Target="http://ec.europa.eu/taxation_customs/resources/documents/taxation/gen_info/economic_analysis/tax_structures/2014/ntl_release_2014.xls" TargetMode="External"/><Relationship Id="rId18" Type="http://schemas.openxmlformats.org/officeDocument/2006/relationships/hyperlink" Target="https://www.surveymonkey.com/s/EY-ECdestinationprincipleEnglis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ilium.europa.eu/uedocs/cms_data/docs/pressdata/en/ecofin/143274.pdf" TargetMode="External"/><Relationship Id="rId12" Type="http://schemas.openxmlformats.org/officeDocument/2006/relationships/hyperlink" Target="http://ec.europa.eu/taxation_customs/taxation/gen_info/economic_analysis/tax_structures/article_6047_en.htm" TargetMode="External"/><Relationship Id="rId17" Type="http://schemas.openxmlformats.org/officeDocument/2006/relationships/hyperlink" Target="http://ec.europa.eu/taxation_customs/resources/documents/taxation/vat/key_documents/expert_group/opinion_vat_2014.pdf" TargetMode="External"/><Relationship Id="rId2" Type="http://schemas.openxmlformats.org/officeDocument/2006/relationships/styles" Target="styles.xml"/><Relationship Id="rId16" Type="http://schemas.openxmlformats.org/officeDocument/2006/relationships/hyperlink" Target="http://ec.europa.eu/taxation_customs/resources/documents/taxation/vat/how_vat_works/telecom/one-stop-shop-guidelines_xx.pdf" TargetMode="External"/><Relationship Id="rId20" Type="http://schemas.openxmlformats.org/officeDocument/2006/relationships/hyperlink" Target="http://www.cfe-eutax.org" TargetMode="External"/><Relationship Id="rId1" Type="http://schemas.openxmlformats.org/officeDocument/2006/relationships/numbering" Target="numbering.xml"/><Relationship Id="rId6" Type="http://schemas.openxmlformats.org/officeDocument/2006/relationships/hyperlink" Target="http://ec.europa.eu/taxation_customs/resources/documents/taxation/vat/key_documents/vat_committee/guidelines-vat-committee-meetings_en.pdf" TargetMode="External"/><Relationship Id="rId11" Type="http://schemas.openxmlformats.org/officeDocument/2006/relationships/hyperlink" Target="http://ec.europa.eu/taxation_customs/resources/documents/taxation/gen_info/economic_analysis/tax_structures/2014/report.pdf" TargetMode="External"/><Relationship Id="rId5" Type="http://schemas.openxmlformats.org/officeDocument/2006/relationships/image" Target="media/image1.jpeg"/><Relationship Id="rId15" Type="http://schemas.openxmlformats.org/officeDocument/2006/relationships/hyperlink" Target="http://ec.europa.eu/taxation_customs/resources/documents/taxation/vat/how_vat_works/telecom/one-stop_add_guidelines_xx.pdf" TargetMode="External"/><Relationship Id="rId10" Type="http://schemas.openxmlformats.org/officeDocument/2006/relationships/hyperlink" Target="http://ec.europa.eu/taxation_customs/resources/documents/taxation/gen_info/economic_analysis/tax_structures/2014/presentation.pdf" TargetMode="External"/><Relationship Id="rId19" Type="http://schemas.openxmlformats.org/officeDocument/2006/relationships/hyperlink" Target="https://www.surveymonkey.com/s/EY-ECdestinationprincipleFrenchGermanItalian" TargetMode="External"/><Relationship Id="rId4" Type="http://schemas.openxmlformats.org/officeDocument/2006/relationships/webSettings" Target="webSettings.xml"/><Relationship Id="rId9" Type="http://schemas.openxmlformats.org/officeDocument/2006/relationships/hyperlink" Target="http://ec.europa.eu/taxation_customs/resources/documents/taxation/gen_info/economic_analysis/tax_structures/2014/pr_92-2014_en.pdf" TargetMode="External"/><Relationship Id="rId14" Type="http://schemas.openxmlformats.org/officeDocument/2006/relationships/hyperlink" Target="http://ec.europa.eu/taxation_customs/taxation/gen_info/economic_analysis/tax_structures/index_en.htm"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D590539A.dotm</Template>
  <TotalTime>0</TotalTime>
  <Pages>2</Pages>
  <Words>752</Words>
  <Characters>4138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Schouten</dc:creator>
  <cp:keywords/>
  <dc:description/>
  <cp:lastModifiedBy>Sandra Schouten</cp:lastModifiedBy>
  <cp:revision>1</cp:revision>
  <dcterms:created xsi:type="dcterms:W3CDTF">2014-07-04T10:41:00Z</dcterms:created>
  <dcterms:modified xsi:type="dcterms:W3CDTF">2014-07-04T10:41:00Z</dcterms:modified>
</cp:coreProperties>
</file>