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3EF" w:rsidRDefault="00CB23EF" w:rsidP="00CB23EF">
      <w:pPr>
        <w:rPr>
          <w:color w:val="1F497D"/>
          <w:lang w:val="en-US"/>
        </w:rPr>
      </w:pPr>
    </w:p>
    <w:tbl>
      <w:tblPr>
        <w:tblW w:w="8154" w:type="dxa"/>
        <w:tblCellSpacing w:w="0" w:type="dxa"/>
        <w:tblBorders>
          <w:top w:val="single" w:sz="48" w:space="0" w:color="000099"/>
          <w:left w:val="single" w:sz="48" w:space="0" w:color="000099"/>
          <w:bottom w:val="single" w:sz="48" w:space="0" w:color="000099"/>
          <w:right w:val="single" w:sz="48" w:space="0" w:color="000099"/>
        </w:tblBorders>
        <w:tblCellMar>
          <w:left w:w="0" w:type="dxa"/>
          <w:right w:w="0" w:type="dxa"/>
        </w:tblCellMar>
        <w:tblLook w:val="04A0" w:firstRow="1" w:lastRow="0" w:firstColumn="1" w:lastColumn="0" w:noHBand="0" w:noVBand="1"/>
      </w:tblPr>
      <w:tblGrid>
        <w:gridCol w:w="9072"/>
      </w:tblGrid>
      <w:tr w:rsidR="00CB23EF" w:rsidTr="00CB23EF">
        <w:trPr>
          <w:tblCellSpacing w:w="0" w:type="dxa"/>
        </w:trPr>
        <w:tc>
          <w:tcPr>
            <w:tcW w:w="8154" w:type="dxa"/>
            <w:tcBorders>
              <w:top w:val="nil"/>
              <w:left w:val="nil"/>
              <w:bottom w:val="nil"/>
              <w:right w:val="nil"/>
            </w:tcBorders>
            <w:tcMar>
              <w:top w:w="375" w:type="dxa"/>
              <w:left w:w="300" w:type="dxa"/>
              <w:bottom w:w="300" w:type="dxa"/>
              <w:right w:w="300" w:type="dxa"/>
            </w:tcMar>
            <w:vAlign w:val="center"/>
          </w:tcPr>
          <w:tbl>
            <w:tblPr>
              <w:tblW w:w="8214" w:type="dxa"/>
              <w:tblCellSpacing w:w="0" w:type="dxa"/>
              <w:tblCellMar>
                <w:left w:w="0" w:type="dxa"/>
                <w:right w:w="0" w:type="dxa"/>
              </w:tblCellMar>
              <w:tblLook w:val="04A0" w:firstRow="1" w:lastRow="0" w:firstColumn="1" w:lastColumn="0" w:noHBand="0" w:noVBand="1"/>
            </w:tblPr>
            <w:tblGrid>
              <w:gridCol w:w="8466"/>
              <w:gridCol w:w="6"/>
            </w:tblGrid>
            <w:tr w:rsidR="00CB23EF">
              <w:trPr>
                <w:tblCellSpacing w:w="0" w:type="dxa"/>
              </w:trPr>
              <w:tc>
                <w:tcPr>
                  <w:tcW w:w="8205" w:type="dxa"/>
                  <w:vAlign w:val="center"/>
                  <w:hideMark/>
                </w:tcPr>
                <w:p w:rsidR="00CB23EF" w:rsidRDefault="00CB23EF">
                  <w:pPr>
                    <w:spacing w:line="276" w:lineRule="auto"/>
                    <w:jc w:val="right"/>
                    <w:rPr>
                      <w:lang w:val="en-GB"/>
                    </w:rPr>
                  </w:pPr>
                  <w:r>
                    <w:rPr>
                      <w:noProof/>
                      <w:lang w:eastAsia="nl-NL"/>
                    </w:rPr>
                    <w:drawing>
                      <wp:inline distT="0" distB="0" distL="0" distR="0">
                        <wp:extent cx="5765165" cy="664845"/>
                        <wp:effectExtent l="0" t="0" r="6985" b="1905"/>
                        <wp:docPr id="1" name="Afbeelding 1" descr="cid:image001.jpg@01CF895A.9AD165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895A.9AD165B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765165" cy="664845"/>
                                </a:xfrm>
                                <a:prstGeom prst="rect">
                                  <a:avLst/>
                                </a:prstGeom>
                                <a:noFill/>
                                <a:ln>
                                  <a:noFill/>
                                </a:ln>
                              </pic:spPr>
                            </pic:pic>
                          </a:graphicData>
                        </a:graphic>
                      </wp:inline>
                    </w:drawing>
                  </w:r>
                </w:p>
              </w:tc>
              <w:tc>
                <w:tcPr>
                  <w:tcW w:w="0" w:type="auto"/>
                  <w:vAlign w:val="center"/>
                </w:tcPr>
                <w:p w:rsidR="00CB23EF" w:rsidRDefault="00CB23EF">
                  <w:pPr>
                    <w:spacing w:line="276" w:lineRule="auto"/>
                    <w:jc w:val="right"/>
                    <w:rPr>
                      <w:color w:val="ACABAB"/>
                      <w:lang w:val="en-GB"/>
                    </w:rPr>
                  </w:pPr>
                </w:p>
                <w:p w:rsidR="00CB23EF" w:rsidRDefault="00CB23EF">
                  <w:pPr>
                    <w:spacing w:line="276" w:lineRule="auto"/>
                    <w:jc w:val="right"/>
                    <w:rPr>
                      <w:color w:val="ACABAB"/>
                      <w:lang w:val="en-GB"/>
                    </w:rPr>
                  </w:pPr>
                </w:p>
              </w:tc>
            </w:tr>
          </w:tbl>
          <w:p w:rsidR="00CB23EF" w:rsidRDefault="00CB23EF">
            <w:pPr>
              <w:spacing w:line="276" w:lineRule="auto"/>
              <w:rPr>
                <w:b/>
                <w:bCs/>
                <w:sz w:val="20"/>
                <w:szCs w:val="20"/>
                <w:lang w:val="en-GB"/>
              </w:rPr>
            </w:pPr>
            <w:r>
              <w:rPr>
                <w:b/>
                <w:bCs/>
                <w:sz w:val="20"/>
                <w:szCs w:val="20"/>
                <w:lang w:val="en-GB"/>
              </w:rPr>
              <w:t>Fiscal Committee</w:t>
            </w:r>
          </w:p>
          <w:p w:rsidR="00CB23EF" w:rsidRDefault="00CB23EF">
            <w:pPr>
              <w:spacing w:line="276" w:lineRule="auto"/>
              <w:jc w:val="right"/>
              <w:rPr>
                <w:b/>
                <w:bCs/>
                <w:sz w:val="20"/>
                <w:szCs w:val="20"/>
                <w:lang w:val="en-GB"/>
              </w:rPr>
            </w:pPr>
            <w:r>
              <w:rPr>
                <w:b/>
                <w:bCs/>
                <w:sz w:val="20"/>
                <w:szCs w:val="20"/>
                <w:lang w:val="en-GB"/>
              </w:rPr>
              <w:t>16 June 2014</w:t>
            </w:r>
          </w:p>
          <w:p w:rsidR="00CB23EF" w:rsidRDefault="00CB23EF">
            <w:pPr>
              <w:pStyle w:val="Lijstalinea"/>
              <w:spacing w:line="276" w:lineRule="auto"/>
              <w:ind w:left="1080"/>
              <w:jc w:val="both"/>
              <w:rPr>
                <w:sz w:val="20"/>
                <w:szCs w:val="20"/>
                <w:lang w:val="en-GB" w:eastAsia="en-US"/>
              </w:rPr>
            </w:pPr>
          </w:p>
          <w:p w:rsidR="00CB23EF" w:rsidRDefault="00CB23EF" w:rsidP="00AA7E6F">
            <w:pPr>
              <w:pStyle w:val="Lijstalinea"/>
              <w:numPr>
                <w:ilvl w:val="0"/>
                <w:numId w:val="1"/>
              </w:numPr>
              <w:spacing w:line="276" w:lineRule="auto"/>
              <w:ind w:left="267" w:hanging="283"/>
              <w:rPr>
                <w:b/>
                <w:bCs/>
                <w:sz w:val="20"/>
                <w:szCs w:val="20"/>
                <w:lang w:val="en-GB" w:eastAsia="en-US"/>
              </w:rPr>
            </w:pPr>
            <w:r>
              <w:rPr>
                <w:b/>
                <w:bCs/>
                <w:sz w:val="20"/>
                <w:szCs w:val="20"/>
                <w:lang w:val="en-GB" w:eastAsia="en-US"/>
              </w:rPr>
              <w:t>Commission launches state aid investigation into tax rulings concerning Apple, Starbucks and Fiat Finance and Trade</w:t>
            </w:r>
          </w:p>
          <w:p w:rsidR="00CB23EF" w:rsidRDefault="00CB23EF">
            <w:pPr>
              <w:spacing w:line="276" w:lineRule="auto"/>
              <w:ind w:left="-16" w:firstLine="16"/>
              <w:rPr>
                <w:rFonts w:ascii="Times New Roman" w:hAnsi="Times New Roman"/>
                <w:sz w:val="24"/>
                <w:szCs w:val="24"/>
                <w:lang w:val="en-GB"/>
              </w:rPr>
            </w:pPr>
          </w:p>
          <w:p w:rsidR="00CB23EF" w:rsidRDefault="00CB23EF">
            <w:pPr>
              <w:spacing w:after="240" w:line="276" w:lineRule="auto"/>
              <w:ind w:left="-16"/>
              <w:rPr>
                <w:sz w:val="20"/>
                <w:szCs w:val="20"/>
                <w:lang w:val="en-GB"/>
              </w:rPr>
            </w:pPr>
            <w:r>
              <w:fldChar w:fldCharType="begin"/>
            </w:r>
            <w:r w:rsidRPr="00CB23EF">
              <w:rPr>
                <w:lang w:val="en-GB"/>
              </w:rPr>
              <w:instrText xml:space="preserve"> HYPERLINK "http://ec.europa.eu/taxation_customs/resources/documents/taxation/vat/key_documents/vat_committee/guidelines-vat-committee-meetings_en.pdf" </w:instrText>
            </w:r>
            <w:r>
              <w:fldChar w:fldCharType="separate"/>
            </w:r>
            <w:r>
              <w:rPr>
                <w:rStyle w:val="Hyperlink"/>
                <w:color w:val="auto"/>
                <w:sz w:val="20"/>
                <w:szCs w:val="20"/>
                <w:u w:val="none"/>
                <w:lang w:val="en-GB"/>
              </w:rPr>
              <w:t>On</w:t>
            </w:r>
            <w:r>
              <w:fldChar w:fldCharType="end"/>
            </w:r>
            <w:r>
              <w:rPr>
                <w:sz w:val="20"/>
                <w:szCs w:val="20"/>
                <w:lang w:val="en-GB"/>
              </w:rPr>
              <w:t xml:space="preserve"> 11 June 2014, the European Commission announced that it has initiated in-depth investigations into tax rulings by the tax authorities of Ireland, Luxembourg and the Netherlands on transfer pricing arrangements of Apple, Starbucks and Fiat Finance and Trade. Tax rulings may involve state aid within the meaning of EU rules if they are used to provide selective advantages to a specific company or group of companies. The arrangements in question concern the taxable basis which, as the Commission suspects, could be underestimated; they do not relate to the applicable tax rate. The opening of in-depth investigations gives third parties the possibility to comment but does not prejudge the outcome of the findings.</w:t>
            </w:r>
          </w:p>
          <w:p w:rsidR="00CB23EF" w:rsidRPr="00CB23EF" w:rsidRDefault="00CB23EF" w:rsidP="00AA7E6F">
            <w:pPr>
              <w:pStyle w:val="Lijstalinea"/>
              <w:numPr>
                <w:ilvl w:val="0"/>
                <w:numId w:val="2"/>
              </w:numPr>
              <w:spacing w:line="276" w:lineRule="auto"/>
              <w:jc w:val="both"/>
              <w:rPr>
                <w:sz w:val="20"/>
                <w:szCs w:val="20"/>
                <w:lang w:val="en-GB" w:eastAsia="en-US"/>
              </w:rPr>
            </w:pPr>
            <w:r w:rsidRPr="00CB23EF">
              <w:rPr>
                <w:sz w:val="20"/>
                <w:szCs w:val="20"/>
                <w:lang w:val="en-GB" w:eastAsia="en-US"/>
              </w:rPr>
              <w:t xml:space="preserve">Press release: </w:t>
            </w:r>
            <w:r>
              <w:rPr>
                <w:lang w:eastAsia="en-US"/>
              </w:rPr>
              <w:fldChar w:fldCharType="begin"/>
            </w:r>
            <w:r w:rsidRPr="00CB23EF">
              <w:rPr>
                <w:lang w:val="en-GB" w:eastAsia="en-US"/>
              </w:rPr>
              <w:instrText xml:space="preserve"> HYPERLINK "http://europa.eu/rapid/press-release_IP-14-663_en.htm?locale=en" </w:instrText>
            </w:r>
            <w:r>
              <w:rPr>
                <w:lang w:eastAsia="en-US"/>
              </w:rPr>
              <w:fldChar w:fldCharType="separate"/>
            </w:r>
            <w:r w:rsidRPr="00CB23EF">
              <w:rPr>
                <w:rStyle w:val="Hyperlink"/>
                <w:sz w:val="20"/>
                <w:szCs w:val="20"/>
                <w:lang w:val="en-GB" w:eastAsia="en-US"/>
              </w:rPr>
              <w:t>EN</w:t>
            </w:r>
            <w:r>
              <w:rPr>
                <w:lang w:eastAsia="en-US"/>
              </w:rPr>
              <w:fldChar w:fldCharType="end"/>
            </w:r>
            <w:r w:rsidRPr="00CB23EF">
              <w:rPr>
                <w:sz w:val="20"/>
                <w:szCs w:val="20"/>
                <w:lang w:val="en-GB" w:eastAsia="en-US"/>
              </w:rPr>
              <w:t xml:space="preserve"> (</w:t>
            </w:r>
            <w:r>
              <w:rPr>
                <w:lang w:eastAsia="en-US"/>
              </w:rPr>
              <w:fldChar w:fldCharType="begin"/>
            </w:r>
            <w:r w:rsidRPr="00CB23EF">
              <w:rPr>
                <w:lang w:val="en-GB" w:eastAsia="en-US"/>
              </w:rPr>
              <w:instrText xml:space="preserve"> HYPERLINK "http://europa.eu/rapid/press-release_IP-14-663_fr.htm" </w:instrText>
            </w:r>
            <w:r>
              <w:rPr>
                <w:lang w:eastAsia="en-US"/>
              </w:rPr>
              <w:fldChar w:fldCharType="separate"/>
            </w:r>
            <w:r w:rsidRPr="00CB23EF">
              <w:rPr>
                <w:rStyle w:val="Hyperlink"/>
                <w:sz w:val="20"/>
                <w:szCs w:val="20"/>
                <w:lang w:val="en-GB" w:eastAsia="en-US"/>
              </w:rPr>
              <w:t>FR</w:t>
            </w:r>
            <w:r>
              <w:rPr>
                <w:lang w:eastAsia="en-US"/>
              </w:rPr>
              <w:fldChar w:fldCharType="end"/>
            </w:r>
            <w:r w:rsidRPr="00CB23EF">
              <w:rPr>
                <w:sz w:val="20"/>
                <w:szCs w:val="20"/>
                <w:lang w:val="en-GB" w:eastAsia="en-US"/>
              </w:rPr>
              <w:t xml:space="preserve"> </w:t>
            </w:r>
            <w:r>
              <w:rPr>
                <w:lang w:eastAsia="en-US"/>
              </w:rPr>
              <w:fldChar w:fldCharType="begin"/>
            </w:r>
            <w:r w:rsidRPr="00CB23EF">
              <w:rPr>
                <w:lang w:val="en-GB" w:eastAsia="en-US"/>
              </w:rPr>
              <w:instrText xml:space="preserve"> HYPERLINK "http://europa.eu/rapid/press-release_IP-14-663_de.htm" </w:instrText>
            </w:r>
            <w:r>
              <w:rPr>
                <w:lang w:eastAsia="en-US"/>
              </w:rPr>
              <w:fldChar w:fldCharType="separate"/>
            </w:r>
            <w:r w:rsidRPr="00CB23EF">
              <w:rPr>
                <w:rStyle w:val="Hyperlink"/>
                <w:sz w:val="20"/>
                <w:szCs w:val="20"/>
                <w:lang w:val="en-GB" w:eastAsia="en-US"/>
              </w:rPr>
              <w:t>DE</w:t>
            </w:r>
            <w:r>
              <w:rPr>
                <w:lang w:eastAsia="en-US"/>
              </w:rPr>
              <w:fldChar w:fldCharType="end"/>
            </w:r>
            <w:r w:rsidRPr="00CB23EF">
              <w:rPr>
                <w:sz w:val="20"/>
                <w:szCs w:val="20"/>
                <w:lang w:val="en-GB" w:eastAsia="en-US"/>
              </w:rPr>
              <w:t xml:space="preserve"> </w:t>
            </w:r>
            <w:r>
              <w:rPr>
                <w:lang w:eastAsia="en-US"/>
              </w:rPr>
              <w:fldChar w:fldCharType="begin"/>
            </w:r>
            <w:r w:rsidRPr="00CB23EF">
              <w:rPr>
                <w:lang w:val="en-GB" w:eastAsia="en-US"/>
              </w:rPr>
              <w:instrText xml:space="preserve"> HYPERLINK "http://europa.eu/rapid/press-release_IP-14-663_nl.htm" </w:instrText>
            </w:r>
            <w:r>
              <w:rPr>
                <w:lang w:eastAsia="en-US"/>
              </w:rPr>
              <w:fldChar w:fldCharType="separate"/>
            </w:r>
            <w:r w:rsidRPr="00CB23EF">
              <w:rPr>
                <w:rStyle w:val="Hyperlink"/>
                <w:sz w:val="20"/>
                <w:szCs w:val="20"/>
                <w:lang w:val="en-GB" w:eastAsia="en-US"/>
              </w:rPr>
              <w:t>NL</w:t>
            </w:r>
            <w:r>
              <w:rPr>
                <w:lang w:eastAsia="en-US"/>
              </w:rPr>
              <w:fldChar w:fldCharType="end"/>
            </w:r>
            <w:r w:rsidRPr="00CB23EF">
              <w:rPr>
                <w:sz w:val="20"/>
                <w:szCs w:val="20"/>
                <w:lang w:val="en-GB" w:eastAsia="en-US"/>
              </w:rPr>
              <w:t xml:space="preserve"> available)</w:t>
            </w:r>
          </w:p>
          <w:p w:rsidR="00CB23EF" w:rsidRPr="00CB23EF" w:rsidRDefault="00CB23EF">
            <w:pPr>
              <w:pStyle w:val="Lijstalinea"/>
              <w:spacing w:line="276" w:lineRule="auto"/>
              <w:ind w:left="1080"/>
              <w:jc w:val="both"/>
              <w:rPr>
                <w:sz w:val="20"/>
                <w:szCs w:val="20"/>
                <w:lang w:val="en-GB" w:eastAsia="en-US"/>
              </w:rPr>
            </w:pPr>
          </w:p>
          <w:p w:rsidR="00CB23EF" w:rsidRPr="00CB23EF" w:rsidRDefault="00CB23EF">
            <w:pPr>
              <w:pStyle w:val="Lijstalinea"/>
              <w:spacing w:line="276" w:lineRule="auto"/>
              <w:jc w:val="both"/>
              <w:rPr>
                <w:b/>
                <w:bCs/>
                <w:sz w:val="20"/>
                <w:szCs w:val="20"/>
                <w:lang w:val="en-GB" w:eastAsia="en-US"/>
              </w:rPr>
            </w:pPr>
          </w:p>
          <w:p w:rsidR="00CB23EF" w:rsidRDefault="00CB23EF">
            <w:pPr>
              <w:autoSpaceDE w:val="0"/>
              <w:autoSpaceDN w:val="0"/>
              <w:spacing w:line="276" w:lineRule="auto"/>
              <w:jc w:val="both"/>
              <w:rPr>
                <w:b/>
                <w:bCs/>
                <w:color w:val="222222"/>
                <w:sz w:val="20"/>
                <w:szCs w:val="20"/>
                <w:lang w:val="en-GB"/>
              </w:rPr>
            </w:pPr>
            <w:r>
              <w:rPr>
                <w:b/>
                <w:bCs/>
                <w:color w:val="222222"/>
                <w:sz w:val="20"/>
                <w:szCs w:val="20"/>
                <w:lang w:val="en-GB"/>
              </w:rPr>
              <w:t>2-  Overview on recommendations in Country-Specific Recommendations</w:t>
            </w:r>
          </w:p>
          <w:p w:rsidR="00CB23EF" w:rsidRDefault="00CB23EF">
            <w:pPr>
              <w:spacing w:line="276" w:lineRule="auto"/>
              <w:jc w:val="both"/>
              <w:rPr>
                <w:sz w:val="20"/>
                <w:szCs w:val="20"/>
                <w:lang w:val="en-GB"/>
              </w:rPr>
            </w:pPr>
          </w:p>
          <w:p w:rsidR="00CB23EF" w:rsidRDefault="00CB23EF">
            <w:pPr>
              <w:spacing w:after="240" w:line="276" w:lineRule="auto"/>
              <w:ind w:hanging="16"/>
              <w:jc w:val="both"/>
              <w:rPr>
                <w:sz w:val="20"/>
                <w:szCs w:val="20"/>
                <w:lang w:val="en-GB"/>
              </w:rPr>
            </w:pPr>
            <w:r>
              <w:rPr>
                <w:sz w:val="20"/>
                <w:szCs w:val="20"/>
                <w:lang w:val="en-GB"/>
              </w:rPr>
              <w:t>The European Commission has published an overview on tax recommendations to EU member states contained in its Country-Specific Recommendations, issued on 2 June 2014 (see previous issue of CFE´s Tax Top 5).</w:t>
            </w:r>
          </w:p>
          <w:p w:rsidR="00CB23EF" w:rsidRDefault="00CB23EF" w:rsidP="00AA7E6F">
            <w:pPr>
              <w:pStyle w:val="Lijstalinea"/>
              <w:numPr>
                <w:ilvl w:val="0"/>
                <w:numId w:val="2"/>
              </w:numPr>
              <w:spacing w:after="240" w:line="276" w:lineRule="auto"/>
              <w:jc w:val="both"/>
              <w:rPr>
                <w:sz w:val="20"/>
                <w:szCs w:val="20"/>
                <w:lang w:eastAsia="en-US"/>
              </w:rPr>
            </w:pPr>
            <w:proofErr w:type="spellStart"/>
            <w:r>
              <w:rPr>
                <w:lang w:eastAsia="en-US"/>
              </w:rPr>
              <w:t>Overview</w:t>
            </w:r>
            <w:proofErr w:type="spellEnd"/>
            <w:r>
              <w:rPr>
                <w:lang w:eastAsia="en-US"/>
              </w:rPr>
              <w:t xml:space="preserve"> : </w:t>
            </w:r>
            <w:hyperlink r:id="rId7" w:history="1">
              <w:r>
                <w:rPr>
                  <w:rStyle w:val="Hyperlink"/>
                  <w:lang w:eastAsia="en-US"/>
                </w:rPr>
                <w:t>EN</w:t>
              </w:r>
            </w:hyperlink>
            <w:r>
              <w:rPr>
                <w:lang w:eastAsia="en-US"/>
              </w:rPr>
              <w:t xml:space="preserve"> (DE FR </w:t>
            </w:r>
            <w:proofErr w:type="spellStart"/>
            <w:r>
              <w:rPr>
                <w:lang w:eastAsia="en-US"/>
              </w:rPr>
              <w:t>available</w:t>
            </w:r>
            <w:proofErr w:type="spellEnd"/>
            <w:r>
              <w:rPr>
                <w:lang w:eastAsia="en-US"/>
              </w:rPr>
              <w:t>)</w:t>
            </w:r>
          </w:p>
          <w:p w:rsidR="00CB23EF" w:rsidRDefault="00CB23EF">
            <w:pPr>
              <w:spacing w:line="276" w:lineRule="auto"/>
              <w:jc w:val="both"/>
              <w:rPr>
                <w:b/>
                <w:bCs/>
                <w:sz w:val="20"/>
                <w:szCs w:val="20"/>
                <w:lang w:val="en-GB"/>
              </w:rPr>
            </w:pPr>
            <w:r>
              <w:rPr>
                <w:b/>
                <w:bCs/>
                <w:sz w:val="20"/>
                <w:szCs w:val="20"/>
                <w:lang w:val="en-GB"/>
              </w:rPr>
              <w:t>3- Commission decides on composition of Group of experts on removing tax problems facing individuals who are active across borders within the EU</w:t>
            </w:r>
          </w:p>
          <w:p w:rsidR="00CB23EF" w:rsidRDefault="00CB23EF">
            <w:pPr>
              <w:spacing w:line="276" w:lineRule="auto"/>
              <w:jc w:val="both"/>
              <w:rPr>
                <w:b/>
                <w:bCs/>
                <w:sz w:val="20"/>
                <w:szCs w:val="20"/>
                <w:lang w:val="en-GB"/>
              </w:rPr>
            </w:pPr>
          </w:p>
          <w:p w:rsidR="00CB23EF" w:rsidRDefault="00CB23EF">
            <w:pPr>
              <w:spacing w:after="240" w:line="276" w:lineRule="auto"/>
              <w:jc w:val="both"/>
              <w:rPr>
                <w:sz w:val="20"/>
                <w:szCs w:val="20"/>
                <w:lang w:val="en-GB"/>
              </w:rPr>
            </w:pPr>
            <w:r>
              <w:rPr>
                <w:sz w:val="20"/>
                <w:szCs w:val="20"/>
                <w:lang w:val="en-GB"/>
              </w:rPr>
              <w:t>The European Commission has taken its decision on the composition of the “Group of experts on removing tax problems facing individuals who are active across borders within the EU” that will consult the Commission in the resolution of inheritance and other tax issues of individuals until the end of 2014. The CFE has been accepted to the group which will meet for the first time on 30 June. More information will be available soon on the dedicated Commission website.</w:t>
            </w:r>
          </w:p>
          <w:p w:rsidR="00CB23EF" w:rsidRDefault="00CB23EF" w:rsidP="00AA7E6F">
            <w:pPr>
              <w:pStyle w:val="Lijstalinea"/>
              <w:numPr>
                <w:ilvl w:val="0"/>
                <w:numId w:val="2"/>
              </w:numPr>
              <w:spacing w:line="276" w:lineRule="auto"/>
              <w:jc w:val="both"/>
              <w:rPr>
                <w:sz w:val="20"/>
                <w:szCs w:val="20"/>
                <w:lang w:val="en-GB" w:eastAsia="en-US"/>
              </w:rPr>
            </w:pPr>
            <w:r>
              <w:rPr>
                <w:lang w:eastAsia="en-US"/>
              </w:rPr>
              <w:fldChar w:fldCharType="begin"/>
            </w:r>
            <w:r w:rsidRPr="00CB23EF">
              <w:rPr>
                <w:lang w:val="en-GB" w:eastAsia="en-US"/>
              </w:rPr>
              <w:instrText xml:space="preserve"> HYPERLINK "http://ec.europa.eu/taxation_customs/taxation/individuals/expert_group/index_en.htm" </w:instrText>
            </w:r>
            <w:r>
              <w:rPr>
                <w:lang w:eastAsia="en-US"/>
              </w:rPr>
              <w:fldChar w:fldCharType="separate"/>
            </w:r>
            <w:r>
              <w:rPr>
                <w:rStyle w:val="Hyperlink"/>
                <w:sz w:val="20"/>
                <w:szCs w:val="20"/>
                <w:lang w:val="en-GB" w:eastAsia="en-US"/>
              </w:rPr>
              <w:t>Expert group on Commission website</w:t>
            </w:r>
            <w:r>
              <w:rPr>
                <w:lang w:eastAsia="en-US"/>
              </w:rPr>
              <w:fldChar w:fldCharType="end"/>
            </w:r>
            <w:r>
              <w:rPr>
                <w:sz w:val="20"/>
                <w:szCs w:val="20"/>
                <w:lang w:val="en-GB" w:eastAsia="en-US"/>
              </w:rPr>
              <w:t xml:space="preserve"> (DE, FR available)</w:t>
            </w:r>
          </w:p>
          <w:p w:rsidR="00CB23EF" w:rsidRDefault="00CB23EF">
            <w:pPr>
              <w:pStyle w:val="Lijstalinea"/>
              <w:spacing w:line="276" w:lineRule="auto"/>
              <w:ind w:left="1080"/>
              <w:jc w:val="both"/>
              <w:rPr>
                <w:sz w:val="20"/>
                <w:szCs w:val="20"/>
                <w:lang w:val="en-GB" w:eastAsia="en-US"/>
              </w:rPr>
            </w:pPr>
          </w:p>
          <w:p w:rsidR="00CB23EF" w:rsidRDefault="00CB23EF">
            <w:pPr>
              <w:pStyle w:val="Lijstalinea"/>
              <w:spacing w:line="276" w:lineRule="auto"/>
              <w:ind w:left="-16"/>
              <w:jc w:val="both"/>
              <w:rPr>
                <w:b/>
                <w:bCs/>
                <w:sz w:val="20"/>
                <w:szCs w:val="20"/>
                <w:lang w:val="en-GB" w:eastAsia="en-US"/>
              </w:rPr>
            </w:pPr>
            <w:r>
              <w:rPr>
                <w:b/>
                <w:bCs/>
                <w:sz w:val="20"/>
                <w:szCs w:val="20"/>
                <w:lang w:val="en-GB" w:eastAsia="en-US"/>
              </w:rPr>
              <w:t>4- ECJ rules on VAT treatment of discount cards</w:t>
            </w:r>
          </w:p>
          <w:p w:rsidR="00CB23EF" w:rsidRDefault="00CB23EF">
            <w:pPr>
              <w:pStyle w:val="Lijstalinea"/>
              <w:spacing w:line="276" w:lineRule="auto"/>
              <w:ind w:left="-16"/>
              <w:jc w:val="both"/>
              <w:rPr>
                <w:sz w:val="20"/>
                <w:szCs w:val="20"/>
                <w:lang w:val="en-GB" w:eastAsia="en-US"/>
              </w:rPr>
            </w:pPr>
          </w:p>
          <w:p w:rsidR="00CB23EF" w:rsidRDefault="00CB23EF">
            <w:pPr>
              <w:pStyle w:val="Lijstalinea"/>
              <w:spacing w:line="276" w:lineRule="auto"/>
              <w:ind w:left="0" w:hanging="16"/>
              <w:jc w:val="both"/>
              <w:rPr>
                <w:sz w:val="20"/>
                <w:szCs w:val="20"/>
                <w:lang w:val="en-GB" w:eastAsia="en-US"/>
              </w:rPr>
            </w:pPr>
            <w:r>
              <w:rPr>
                <w:sz w:val="20"/>
                <w:szCs w:val="20"/>
                <w:lang w:val="en-GB" w:eastAsia="en-US"/>
              </w:rPr>
              <w:t>According to a judgment delivered by the European Court of Justice on 12 June 2014 in the preliminary ruling case C</w:t>
            </w:r>
            <w:r>
              <w:rPr>
                <w:sz w:val="20"/>
                <w:szCs w:val="20"/>
                <w:lang w:val="en-GB" w:eastAsia="en-US"/>
              </w:rPr>
              <w:noBreakHyphen/>
              <w:t xml:space="preserve">461/12, </w:t>
            </w:r>
            <w:proofErr w:type="spellStart"/>
            <w:r>
              <w:rPr>
                <w:sz w:val="20"/>
                <w:szCs w:val="20"/>
                <w:lang w:val="en-GB" w:eastAsia="en-US"/>
              </w:rPr>
              <w:t>Granton</w:t>
            </w:r>
            <w:proofErr w:type="spellEnd"/>
            <w:r>
              <w:rPr>
                <w:sz w:val="20"/>
                <w:szCs w:val="20"/>
                <w:lang w:val="en-GB" w:eastAsia="en-US"/>
              </w:rPr>
              <w:t xml:space="preserve"> Advertising,  from a Dutch Court, the sale of a discount card does not </w:t>
            </w:r>
            <w:r>
              <w:rPr>
                <w:sz w:val="20"/>
                <w:szCs w:val="20"/>
                <w:lang w:val="en-GB" w:eastAsia="en-US"/>
              </w:rPr>
              <w:lastRenderedPageBreak/>
              <w:t xml:space="preserve">constitute a transaction in ‘other securities’ or concerning ‘other negotiable instruments’ to be exempted from VAT. </w:t>
            </w:r>
          </w:p>
          <w:p w:rsidR="00CB23EF" w:rsidRDefault="00CB23EF">
            <w:pPr>
              <w:pStyle w:val="Lijstalinea"/>
              <w:spacing w:line="276" w:lineRule="auto"/>
              <w:ind w:left="0" w:hanging="16"/>
              <w:jc w:val="both"/>
              <w:rPr>
                <w:sz w:val="20"/>
                <w:szCs w:val="20"/>
                <w:lang w:val="en-GB" w:eastAsia="en-US"/>
              </w:rPr>
            </w:pPr>
          </w:p>
          <w:p w:rsidR="00CB23EF" w:rsidRPr="00CB23EF" w:rsidRDefault="00CB23EF" w:rsidP="00AA7E6F">
            <w:pPr>
              <w:pStyle w:val="Lijstalinea"/>
              <w:numPr>
                <w:ilvl w:val="0"/>
                <w:numId w:val="2"/>
              </w:numPr>
              <w:spacing w:line="276" w:lineRule="auto"/>
              <w:jc w:val="both"/>
              <w:rPr>
                <w:sz w:val="20"/>
                <w:szCs w:val="20"/>
                <w:lang w:val="en-GB" w:eastAsia="en-US"/>
              </w:rPr>
            </w:pPr>
            <w:r w:rsidRPr="00CB23EF">
              <w:rPr>
                <w:sz w:val="20"/>
                <w:szCs w:val="20"/>
                <w:lang w:val="en-GB" w:eastAsia="en-US"/>
              </w:rPr>
              <w:t xml:space="preserve">Judgment: </w:t>
            </w:r>
            <w:r>
              <w:rPr>
                <w:lang w:eastAsia="en-US"/>
              </w:rPr>
              <w:fldChar w:fldCharType="begin"/>
            </w:r>
            <w:r w:rsidRPr="00CB23EF">
              <w:rPr>
                <w:lang w:val="en-GB" w:eastAsia="en-US"/>
              </w:rPr>
              <w:instrText xml:space="preserve"> HYPERLINK "http://curia.europa.eu/juris/document/document.jsf?text=&amp;docid=153578&amp;pageIndex=0&amp;doclang=EN&amp;mode=lst&amp;dir=&amp;occ=first&amp;part=1&amp;cid=89086" </w:instrText>
            </w:r>
            <w:r>
              <w:rPr>
                <w:lang w:eastAsia="en-US"/>
              </w:rPr>
              <w:fldChar w:fldCharType="separate"/>
            </w:r>
            <w:r w:rsidRPr="00CB23EF">
              <w:rPr>
                <w:rStyle w:val="Hyperlink"/>
                <w:sz w:val="20"/>
                <w:szCs w:val="20"/>
                <w:lang w:val="en-GB" w:eastAsia="en-US"/>
              </w:rPr>
              <w:t>EN</w:t>
            </w:r>
            <w:r>
              <w:rPr>
                <w:lang w:eastAsia="en-US"/>
              </w:rPr>
              <w:fldChar w:fldCharType="end"/>
            </w:r>
            <w:r w:rsidRPr="00CB23EF">
              <w:rPr>
                <w:sz w:val="20"/>
                <w:szCs w:val="20"/>
                <w:lang w:val="en-GB" w:eastAsia="en-US"/>
              </w:rPr>
              <w:t xml:space="preserve"> (all EU languages)</w:t>
            </w:r>
          </w:p>
          <w:p w:rsidR="00CB23EF" w:rsidRDefault="00CB23EF" w:rsidP="00AA7E6F">
            <w:pPr>
              <w:pStyle w:val="Lijstalinea"/>
              <w:numPr>
                <w:ilvl w:val="0"/>
                <w:numId w:val="2"/>
              </w:numPr>
              <w:spacing w:line="276" w:lineRule="auto"/>
              <w:jc w:val="both"/>
              <w:rPr>
                <w:sz w:val="20"/>
                <w:szCs w:val="20"/>
                <w:lang w:val="en-GB" w:eastAsia="en-US"/>
              </w:rPr>
            </w:pPr>
            <w:r>
              <w:rPr>
                <w:sz w:val="20"/>
                <w:szCs w:val="20"/>
                <w:lang w:val="en-GB" w:eastAsia="en-US"/>
              </w:rPr>
              <w:t xml:space="preserve">Opinion of Advocate-General </w:t>
            </w:r>
            <w:proofErr w:type="spellStart"/>
            <w:r>
              <w:rPr>
                <w:sz w:val="20"/>
                <w:szCs w:val="20"/>
                <w:lang w:val="en-GB" w:eastAsia="en-US"/>
              </w:rPr>
              <w:t>Juliane</w:t>
            </w:r>
            <w:proofErr w:type="spellEnd"/>
            <w:r>
              <w:rPr>
                <w:sz w:val="20"/>
                <w:szCs w:val="20"/>
                <w:lang w:val="en-GB" w:eastAsia="en-US"/>
              </w:rPr>
              <w:t xml:space="preserve"> </w:t>
            </w:r>
            <w:proofErr w:type="spellStart"/>
            <w:r>
              <w:rPr>
                <w:sz w:val="20"/>
                <w:szCs w:val="20"/>
                <w:lang w:val="en-GB" w:eastAsia="en-US"/>
              </w:rPr>
              <w:t>Kokott</w:t>
            </w:r>
            <w:proofErr w:type="spellEnd"/>
            <w:r>
              <w:rPr>
                <w:sz w:val="20"/>
                <w:szCs w:val="20"/>
                <w:lang w:val="en-GB" w:eastAsia="en-US"/>
              </w:rPr>
              <w:t xml:space="preserve"> : </w:t>
            </w:r>
            <w:r>
              <w:rPr>
                <w:lang w:eastAsia="en-US"/>
              </w:rPr>
              <w:fldChar w:fldCharType="begin"/>
            </w:r>
            <w:r w:rsidRPr="00CB23EF">
              <w:rPr>
                <w:lang w:val="en-GB" w:eastAsia="en-US"/>
              </w:rPr>
              <w:instrText xml:space="preserve"> HYPERLINK "http://curia.europa.eu/juris/document/document.jsf?text=&amp;docid=143522&amp;pageIndex=0&amp;doclang=en&amp;mode=lst&amp;dir=&amp;occ=first&amp;part=1&amp;cid=89086" </w:instrText>
            </w:r>
            <w:r>
              <w:rPr>
                <w:lang w:eastAsia="en-US"/>
              </w:rPr>
              <w:fldChar w:fldCharType="separate"/>
            </w:r>
            <w:r>
              <w:rPr>
                <w:rStyle w:val="Hyperlink"/>
                <w:sz w:val="20"/>
                <w:szCs w:val="20"/>
                <w:lang w:val="en-GB" w:eastAsia="en-US"/>
              </w:rPr>
              <w:t>EN</w:t>
            </w:r>
            <w:r>
              <w:rPr>
                <w:lang w:eastAsia="en-US"/>
              </w:rPr>
              <w:fldChar w:fldCharType="end"/>
            </w:r>
            <w:r>
              <w:rPr>
                <w:sz w:val="20"/>
                <w:szCs w:val="20"/>
                <w:lang w:val="en-GB" w:eastAsia="en-US"/>
              </w:rPr>
              <w:t xml:space="preserve"> (all EU languages)</w:t>
            </w:r>
          </w:p>
          <w:p w:rsidR="00CB23EF" w:rsidRDefault="00CB23EF">
            <w:pPr>
              <w:pStyle w:val="Lijstalinea"/>
              <w:spacing w:line="276" w:lineRule="auto"/>
              <w:ind w:left="1080"/>
              <w:jc w:val="both"/>
              <w:rPr>
                <w:sz w:val="20"/>
                <w:szCs w:val="20"/>
                <w:lang w:val="en-GB" w:eastAsia="en-US"/>
              </w:rPr>
            </w:pPr>
          </w:p>
          <w:p w:rsidR="00CB23EF" w:rsidRDefault="00CB23EF">
            <w:pPr>
              <w:spacing w:line="276" w:lineRule="auto"/>
              <w:jc w:val="center"/>
              <w:rPr>
                <w:sz w:val="20"/>
                <w:szCs w:val="20"/>
                <w:lang w:val="en-GB"/>
              </w:rPr>
            </w:pPr>
            <w:r>
              <w:rPr>
                <w:sz w:val="20"/>
                <w:szCs w:val="20"/>
                <w:lang w:val="en-GB"/>
              </w:rPr>
              <w:t>*****</w:t>
            </w:r>
          </w:p>
          <w:p w:rsidR="00CB23EF" w:rsidRDefault="00CB23EF">
            <w:pPr>
              <w:spacing w:line="276" w:lineRule="auto"/>
              <w:jc w:val="both"/>
              <w:rPr>
                <w:sz w:val="20"/>
                <w:szCs w:val="20"/>
                <w:lang w:val="en-GB"/>
              </w:rPr>
            </w:pPr>
          </w:p>
          <w:p w:rsidR="00CB23EF" w:rsidRDefault="00CB23EF">
            <w:pPr>
              <w:pStyle w:val="Lijstalinea"/>
              <w:spacing w:line="276" w:lineRule="auto"/>
              <w:ind w:left="126"/>
              <w:jc w:val="center"/>
              <w:rPr>
                <w:i/>
                <w:iCs/>
                <w:sz w:val="20"/>
                <w:szCs w:val="20"/>
                <w:lang w:val="en-GB" w:eastAsia="en-US"/>
              </w:rPr>
            </w:pPr>
            <w:r>
              <w:rPr>
                <w:i/>
                <w:iCs/>
                <w:sz w:val="20"/>
                <w:szCs w:val="20"/>
                <w:lang w:val="en-GB" w:eastAsia="en-US"/>
              </w:rPr>
              <w:t xml:space="preserve">The selection of the remitted material has been prepared by </w:t>
            </w:r>
            <w:proofErr w:type="spellStart"/>
            <w:r>
              <w:rPr>
                <w:i/>
                <w:iCs/>
                <w:sz w:val="20"/>
                <w:szCs w:val="20"/>
                <w:lang w:val="en-GB" w:eastAsia="en-US"/>
              </w:rPr>
              <w:t>Piergiorgio</w:t>
            </w:r>
            <w:proofErr w:type="spellEnd"/>
            <w:r>
              <w:rPr>
                <w:i/>
                <w:iCs/>
                <w:sz w:val="20"/>
                <w:szCs w:val="20"/>
                <w:lang w:val="en-GB" w:eastAsia="en-US"/>
              </w:rPr>
              <w:t xml:space="preserve"> Valente / </w:t>
            </w:r>
            <w:proofErr w:type="spellStart"/>
            <w:r>
              <w:rPr>
                <w:i/>
                <w:iCs/>
                <w:sz w:val="20"/>
                <w:szCs w:val="20"/>
                <w:lang w:val="en-GB" w:eastAsia="en-US"/>
              </w:rPr>
              <w:t>Filipa</w:t>
            </w:r>
            <w:proofErr w:type="spellEnd"/>
            <w:r>
              <w:rPr>
                <w:i/>
                <w:iCs/>
                <w:sz w:val="20"/>
                <w:szCs w:val="20"/>
                <w:lang w:val="en-GB" w:eastAsia="en-US"/>
              </w:rPr>
              <w:t xml:space="preserve"> </w:t>
            </w:r>
            <w:proofErr w:type="spellStart"/>
            <w:r>
              <w:rPr>
                <w:i/>
                <w:iCs/>
                <w:sz w:val="20"/>
                <w:szCs w:val="20"/>
                <w:lang w:val="en-GB" w:eastAsia="en-US"/>
              </w:rPr>
              <w:t>Correia</w:t>
            </w:r>
            <w:proofErr w:type="spellEnd"/>
            <w:r>
              <w:rPr>
                <w:i/>
                <w:iCs/>
                <w:sz w:val="20"/>
                <w:szCs w:val="20"/>
                <w:lang w:val="en-GB" w:eastAsia="en-US"/>
              </w:rPr>
              <w:t xml:space="preserve"> / Rudolf </w:t>
            </w:r>
            <w:proofErr w:type="spellStart"/>
            <w:r>
              <w:rPr>
                <w:i/>
                <w:iCs/>
                <w:sz w:val="20"/>
                <w:szCs w:val="20"/>
                <w:lang w:val="en-GB" w:eastAsia="en-US"/>
              </w:rPr>
              <w:t>Reibel</w:t>
            </w:r>
            <w:proofErr w:type="spellEnd"/>
            <w:r>
              <w:rPr>
                <w:i/>
                <w:iCs/>
                <w:sz w:val="20"/>
                <w:szCs w:val="20"/>
                <w:lang w:val="en-GB" w:eastAsia="en-US"/>
              </w:rPr>
              <w:t xml:space="preserve"> </w:t>
            </w:r>
          </w:p>
          <w:p w:rsidR="00CB23EF" w:rsidRDefault="00CB23EF">
            <w:pPr>
              <w:pStyle w:val="Lijstalinea"/>
              <w:spacing w:line="276" w:lineRule="auto"/>
              <w:ind w:left="126"/>
              <w:jc w:val="center"/>
              <w:rPr>
                <w:i/>
                <w:iCs/>
                <w:sz w:val="20"/>
                <w:szCs w:val="20"/>
                <w:lang w:val="en-GB" w:eastAsia="en-US"/>
              </w:rPr>
            </w:pPr>
          </w:p>
          <w:p w:rsidR="00CB23EF" w:rsidRDefault="00CB23EF">
            <w:pPr>
              <w:pStyle w:val="Lijstalinea"/>
              <w:spacing w:line="276" w:lineRule="auto"/>
              <w:ind w:left="126"/>
              <w:jc w:val="center"/>
              <w:rPr>
                <w:i/>
                <w:iCs/>
                <w:lang w:val="en-GB" w:eastAsia="en-US"/>
              </w:rPr>
            </w:pPr>
            <w:hyperlink r:id="rId8" w:history="1">
              <w:r>
                <w:rPr>
                  <w:rStyle w:val="Hyperlink"/>
                  <w:i/>
                  <w:iCs/>
                  <w:sz w:val="20"/>
                  <w:szCs w:val="20"/>
                  <w:lang w:val="en-GB" w:eastAsia="en-US"/>
                </w:rPr>
                <w:t>www.cfe-eutax.org</w:t>
              </w:r>
            </w:hyperlink>
            <w:r>
              <w:rPr>
                <w:i/>
                <w:iCs/>
                <w:lang w:eastAsia="en-US"/>
              </w:rPr>
              <w:t xml:space="preserve"> </w:t>
            </w:r>
          </w:p>
        </w:tc>
      </w:tr>
      <w:tr w:rsidR="00CB23EF" w:rsidTr="00CB23EF">
        <w:trPr>
          <w:tblCellSpacing w:w="0" w:type="dxa"/>
        </w:trPr>
        <w:tc>
          <w:tcPr>
            <w:tcW w:w="8154" w:type="dxa"/>
            <w:tcBorders>
              <w:top w:val="nil"/>
              <w:left w:val="nil"/>
              <w:bottom w:val="nil"/>
              <w:right w:val="nil"/>
            </w:tcBorders>
            <w:vAlign w:val="center"/>
            <w:hideMark/>
          </w:tcPr>
          <w:tbl>
            <w:tblPr>
              <w:tblW w:w="0" w:type="auto"/>
              <w:tblCellSpacing w:w="0" w:type="dxa"/>
              <w:tblCellMar>
                <w:left w:w="0" w:type="dxa"/>
                <w:right w:w="0" w:type="dxa"/>
              </w:tblCellMar>
              <w:tblLook w:val="04A0" w:firstRow="1" w:lastRow="0" w:firstColumn="1" w:lastColumn="0" w:noHBand="0" w:noVBand="1"/>
            </w:tblPr>
            <w:tblGrid>
              <w:gridCol w:w="50"/>
            </w:tblGrid>
            <w:tr w:rsidR="00CB23EF">
              <w:trPr>
                <w:tblCellSpacing w:w="0" w:type="dxa"/>
              </w:trPr>
              <w:tc>
                <w:tcPr>
                  <w:tcW w:w="0" w:type="auto"/>
                  <w:vAlign w:val="center"/>
                  <w:hideMark/>
                </w:tcPr>
                <w:p w:rsidR="00CB23EF" w:rsidRDefault="00CB23EF">
                  <w:pPr>
                    <w:spacing w:line="276" w:lineRule="auto"/>
                    <w:rPr>
                      <w:lang w:val="en-GB"/>
                    </w:rPr>
                  </w:pPr>
                  <w:r>
                    <w:rPr>
                      <w:lang w:val="en-GB"/>
                    </w:rPr>
                    <w:lastRenderedPageBreak/>
                    <w:t> </w:t>
                  </w:r>
                </w:p>
              </w:tc>
            </w:tr>
          </w:tbl>
          <w:p w:rsidR="00CB23EF" w:rsidRDefault="00CB23EF">
            <w:pPr>
              <w:rPr>
                <w:rFonts w:ascii="Times New Roman" w:eastAsia="Times New Roman" w:hAnsi="Times New Roman"/>
                <w:sz w:val="20"/>
                <w:szCs w:val="20"/>
                <w:lang w:eastAsia="nl-NL"/>
              </w:rPr>
            </w:pPr>
          </w:p>
        </w:tc>
      </w:tr>
    </w:tbl>
    <w:p w:rsidR="00CB23EF" w:rsidRDefault="00CB23EF" w:rsidP="00CB23EF">
      <w:pPr>
        <w:rPr>
          <w:color w:val="1F497D"/>
          <w:lang w:val="en-US"/>
        </w:rPr>
      </w:pPr>
    </w:p>
    <w:p w:rsidR="00205106" w:rsidRDefault="00205106">
      <w:bookmarkStart w:id="0" w:name="_GoBack"/>
      <w:bookmarkEnd w:id="0"/>
    </w:p>
    <w:sectPr w:rsidR="002051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577C0F"/>
    <w:multiLevelType w:val="hybridMultilevel"/>
    <w:tmpl w:val="4CB05B42"/>
    <w:lvl w:ilvl="0" w:tplc="04FCABCC">
      <w:start w:val="1"/>
      <w:numFmt w:val="bullet"/>
      <w:lvlText w:val="-"/>
      <w:lvlJc w:val="left"/>
      <w:pPr>
        <w:ind w:left="1080" w:hanging="360"/>
      </w:pPr>
      <w:rPr>
        <w:rFonts w:ascii="Calibri" w:eastAsia="Calibri" w:hAnsi="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nsid w:val="36105223"/>
    <w:multiLevelType w:val="hybridMultilevel"/>
    <w:tmpl w:val="DAC41AF8"/>
    <w:lvl w:ilvl="0" w:tplc="B496654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3EF"/>
    <w:rsid w:val="00205106"/>
    <w:rsid w:val="003B7674"/>
    <w:rsid w:val="00B21468"/>
    <w:rsid w:val="00CB23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4F909E-2E1A-46BF-A34B-0D664A795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B23EF"/>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CB23EF"/>
    <w:rPr>
      <w:color w:val="0000FF"/>
      <w:u w:val="single"/>
    </w:rPr>
  </w:style>
  <w:style w:type="paragraph" w:styleId="Lijstalinea">
    <w:name w:val="List Paragraph"/>
    <w:basedOn w:val="Standaard"/>
    <w:uiPriority w:val="34"/>
    <w:qFormat/>
    <w:rsid w:val="00CB23EF"/>
    <w:pPr>
      <w:ind w:left="720"/>
    </w:pPr>
    <w:rPr>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99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fe-eutax.org" TargetMode="External"/><Relationship Id="rId3" Type="http://schemas.openxmlformats.org/officeDocument/2006/relationships/settings" Target="settings.xml"/><Relationship Id="rId7" Type="http://schemas.openxmlformats.org/officeDocument/2006/relationships/hyperlink" Target="http://ec.europa.eu/taxation_customs/taxation/gen_info/good_governance_matters/european_semester/index_en.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CF895A.9AD165B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358E649F.dotm</Template>
  <TotalTime>0</TotalTime>
  <Pages>2</Pages>
  <Words>542</Words>
  <Characters>2981</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Schouten</dc:creator>
  <cp:keywords/>
  <dc:description/>
  <cp:lastModifiedBy>Sandra Schouten</cp:lastModifiedBy>
  <cp:revision>1</cp:revision>
  <dcterms:created xsi:type="dcterms:W3CDTF">2014-07-04T10:38:00Z</dcterms:created>
  <dcterms:modified xsi:type="dcterms:W3CDTF">2014-07-04T10:38:00Z</dcterms:modified>
</cp:coreProperties>
</file>