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66" w:rsidRDefault="00FC4166" w:rsidP="00FC4166"/>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072"/>
      </w:tblGrid>
      <w:tr w:rsidR="00FC4166" w:rsidTr="00FC4166">
        <w:trPr>
          <w:tblCellSpacing w:w="0" w:type="dxa"/>
        </w:trPr>
        <w:tc>
          <w:tcPr>
            <w:tcW w:w="8154" w:type="dxa"/>
            <w:tcBorders>
              <w:top w:val="nil"/>
              <w:left w:val="nil"/>
              <w:bottom w:val="nil"/>
              <w:right w:val="nil"/>
            </w:tcBorders>
            <w:tcMar>
              <w:top w:w="375" w:type="dxa"/>
              <w:left w:w="300" w:type="dxa"/>
              <w:bottom w:w="300" w:type="dxa"/>
              <w:right w:w="300" w:type="dxa"/>
            </w:tcMar>
            <w:vAlign w:val="center"/>
            <w:hideMark/>
          </w:tcPr>
          <w:tbl>
            <w:tblPr>
              <w:tblW w:w="8214" w:type="dxa"/>
              <w:tblCellSpacing w:w="0" w:type="dxa"/>
              <w:tblCellMar>
                <w:left w:w="0" w:type="dxa"/>
                <w:right w:w="0" w:type="dxa"/>
              </w:tblCellMar>
              <w:tblLook w:val="04A0" w:firstRow="1" w:lastRow="0" w:firstColumn="1" w:lastColumn="0" w:noHBand="0" w:noVBand="1"/>
            </w:tblPr>
            <w:tblGrid>
              <w:gridCol w:w="8426"/>
              <w:gridCol w:w="46"/>
            </w:tblGrid>
            <w:tr w:rsidR="00FC4166">
              <w:trPr>
                <w:tblCellSpacing w:w="0" w:type="dxa"/>
              </w:trPr>
              <w:tc>
                <w:tcPr>
                  <w:tcW w:w="8205" w:type="dxa"/>
                  <w:vAlign w:val="center"/>
                  <w:hideMark/>
                </w:tcPr>
                <w:p w:rsidR="00FC4166" w:rsidRDefault="00FC4166">
                  <w:pPr>
                    <w:spacing w:line="276" w:lineRule="auto"/>
                    <w:jc w:val="right"/>
                  </w:pPr>
                  <w:bookmarkStart w:id="0" w:name="_GoBack"/>
                  <w:bookmarkEnd w:id="0"/>
                  <w:r>
                    <w:rPr>
                      <w:noProof/>
                      <w:lang w:eastAsia="nl-NL"/>
                    </w:rPr>
                    <w:drawing>
                      <wp:inline distT="0" distB="0" distL="0" distR="0" wp14:anchorId="3B6208A2" wp14:editId="3AF20D69">
                        <wp:extent cx="5765165" cy="664845"/>
                        <wp:effectExtent l="0" t="0" r="6985" b="1905"/>
                        <wp:docPr id="2" name="Afbeelding 2" descr="C:\Users\SandraS\AppData\Local\Microsoft\Windows\Temporary Internet Files\Content.Word\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draS\AppData\Local\Microsoft\Windows\Temporary Internet Files\Content.Word\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5165" cy="664845"/>
                                </a:xfrm>
                                <a:prstGeom prst="rect">
                                  <a:avLst/>
                                </a:prstGeom>
                                <a:noFill/>
                                <a:ln>
                                  <a:noFill/>
                                </a:ln>
                              </pic:spPr>
                            </pic:pic>
                          </a:graphicData>
                        </a:graphic>
                      </wp:inline>
                    </w:drawing>
                  </w:r>
                </w:p>
              </w:tc>
              <w:tc>
                <w:tcPr>
                  <w:tcW w:w="0" w:type="auto"/>
                  <w:vAlign w:val="center"/>
                  <w:hideMark/>
                </w:tcPr>
                <w:p w:rsidR="00FC4166" w:rsidRDefault="00FC4166">
                  <w:pPr>
                    <w:spacing w:line="276" w:lineRule="auto"/>
                    <w:jc w:val="right"/>
                  </w:pPr>
                  <w:r>
                    <w:rPr>
                      <w:color w:val="ACABAB"/>
                      <w:lang w:val="en-GB"/>
                    </w:rPr>
                    <w:t> </w:t>
                  </w:r>
                </w:p>
                <w:p w:rsidR="00FC4166" w:rsidRDefault="00FC4166">
                  <w:pPr>
                    <w:spacing w:line="276" w:lineRule="auto"/>
                    <w:jc w:val="right"/>
                  </w:pPr>
                  <w:r>
                    <w:rPr>
                      <w:color w:val="ACABAB"/>
                      <w:lang w:val="en-GB"/>
                    </w:rPr>
                    <w:t> </w:t>
                  </w:r>
                </w:p>
              </w:tc>
            </w:tr>
          </w:tbl>
          <w:p w:rsidR="00FC4166" w:rsidRDefault="00FC4166">
            <w:pPr>
              <w:spacing w:line="276" w:lineRule="auto"/>
            </w:pPr>
            <w:r>
              <w:rPr>
                <w:b/>
                <w:bCs/>
                <w:sz w:val="20"/>
                <w:szCs w:val="20"/>
                <w:lang w:val="en-GB"/>
              </w:rPr>
              <w:t>Fiscal Committee</w:t>
            </w:r>
          </w:p>
          <w:p w:rsidR="00FC4166" w:rsidRDefault="00FC4166">
            <w:pPr>
              <w:spacing w:line="276" w:lineRule="auto"/>
              <w:jc w:val="right"/>
            </w:pPr>
            <w:r>
              <w:rPr>
                <w:b/>
                <w:bCs/>
                <w:sz w:val="20"/>
                <w:szCs w:val="20"/>
                <w:lang w:val="en-GB"/>
              </w:rPr>
              <w:t>26 May 2014</w:t>
            </w:r>
          </w:p>
          <w:p w:rsidR="00FC4166" w:rsidRDefault="00FC4166">
            <w:pPr>
              <w:pStyle w:val="Lijstalinea"/>
              <w:spacing w:line="276" w:lineRule="auto"/>
              <w:ind w:left="0"/>
              <w:jc w:val="both"/>
            </w:pPr>
            <w:r>
              <w:rPr>
                <w:sz w:val="20"/>
                <w:szCs w:val="20"/>
                <w:lang w:val="en-GB" w:eastAsia="en-US"/>
              </w:rPr>
              <w:t> </w:t>
            </w:r>
          </w:p>
          <w:p w:rsidR="00FC4166" w:rsidRDefault="00FC4166">
            <w:pPr>
              <w:pStyle w:val="Lijstalinea"/>
              <w:spacing w:line="276" w:lineRule="auto"/>
              <w:ind w:left="0"/>
              <w:jc w:val="both"/>
            </w:pPr>
            <w:r>
              <w:rPr>
                <w:sz w:val="20"/>
                <w:szCs w:val="20"/>
                <w:lang w:val="en-GB" w:eastAsia="en-US"/>
              </w:rPr>
              <w:t> </w:t>
            </w:r>
          </w:p>
          <w:p w:rsidR="00FC4166" w:rsidRPr="00FC4166" w:rsidRDefault="00FC4166" w:rsidP="0008107A">
            <w:pPr>
              <w:pStyle w:val="Lijstalinea"/>
              <w:numPr>
                <w:ilvl w:val="0"/>
                <w:numId w:val="1"/>
              </w:numPr>
              <w:spacing w:line="276" w:lineRule="auto"/>
              <w:ind w:left="267" w:hanging="267"/>
              <w:jc w:val="both"/>
              <w:rPr>
                <w:lang w:val="en-GB"/>
              </w:rPr>
            </w:pPr>
            <w:r>
              <w:rPr>
                <w:b/>
                <w:bCs/>
                <w:sz w:val="20"/>
                <w:szCs w:val="20"/>
                <w:lang w:val="en-GB" w:eastAsia="en-US"/>
              </w:rPr>
              <w:t>ECJ Advocate-General: Facilities provided by a third party may create a fixed establishment for VAT</w:t>
            </w:r>
          </w:p>
          <w:p w:rsidR="00FC4166" w:rsidRPr="00FC4166" w:rsidRDefault="00FC4166">
            <w:pPr>
              <w:spacing w:line="276" w:lineRule="auto"/>
              <w:jc w:val="both"/>
              <w:rPr>
                <w:lang w:val="en-GB"/>
              </w:rPr>
            </w:pPr>
            <w:r>
              <w:rPr>
                <w:b/>
                <w:bCs/>
                <w:sz w:val="20"/>
                <w:szCs w:val="20"/>
                <w:lang w:val="en-GB"/>
              </w:rPr>
              <w:t> </w:t>
            </w:r>
          </w:p>
          <w:p w:rsidR="00FC4166" w:rsidRPr="00FC4166" w:rsidRDefault="00FC4166">
            <w:pPr>
              <w:spacing w:line="276" w:lineRule="auto"/>
              <w:jc w:val="both"/>
              <w:rPr>
                <w:lang w:val="en-GB"/>
              </w:rPr>
            </w:pPr>
            <w:r>
              <w:rPr>
                <w:sz w:val="20"/>
                <w:szCs w:val="20"/>
                <w:lang w:val="en-GB"/>
              </w:rPr>
              <w:t xml:space="preserve">On 15 May 2014, EU Court of Justice Advocate-General </w:t>
            </w:r>
            <w:proofErr w:type="spellStart"/>
            <w:r>
              <w:rPr>
                <w:sz w:val="20"/>
                <w:szCs w:val="20"/>
                <w:lang w:val="en-GB"/>
              </w:rPr>
              <w:t>Juliane</w:t>
            </w:r>
            <w:proofErr w:type="spellEnd"/>
            <w:r>
              <w:rPr>
                <w:sz w:val="20"/>
                <w:szCs w:val="20"/>
                <w:lang w:val="en-GB"/>
              </w:rPr>
              <w:t xml:space="preserve"> </w:t>
            </w:r>
            <w:proofErr w:type="spellStart"/>
            <w:r>
              <w:rPr>
                <w:sz w:val="20"/>
                <w:szCs w:val="20"/>
                <w:lang w:val="en-GB"/>
              </w:rPr>
              <w:t>Kokott</w:t>
            </w:r>
            <w:proofErr w:type="spellEnd"/>
            <w:r>
              <w:rPr>
                <w:sz w:val="20"/>
                <w:szCs w:val="20"/>
                <w:lang w:val="en-GB"/>
              </w:rPr>
              <w:t xml:space="preserve"> has delivered her opinion on fixed establishment in VAT in the Polish case C-605/12, </w:t>
            </w:r>
            <w:proofErr w:type="spellStart"/>
            <w:r>
              <w:rPr>
                <w:i/>
                <w:iCs/>
                <w:sz w:val="20"/>
                <w:szCs w:val="20"/>
                <w:lang w:val="en-GB"/>
              </w:rPr>
              <w:t>Welmory</w:t>
            </w:r>
            <w:proofErr w:type="spellEnd"/>
            <w:r>
              <w:rPr>
                <w:sz w:val="20"/>
                <w:szCs w:val="20"/>
                <w:lang w:val="en-GB"/>
              </w:rPr>
              <w:t>. The case concerns an internet site operated by a company in Cyprus using infrastructure in Poland belonging to a Polish company.  The Polish tax authority considered that the services supplied to the Cypriot company were subject to Polish VAT, arguing that the services provided by the Polish company for the Cypriot company constituted a fixed establishment of the latter in Poland at which those services were received. According to the (non-binding) opinion, when assessing whether a company has human and technical resources in another state to be considered a fixed establishment, resources provided by a third party may be sufficient, if the local infrastructure can be used as if it belonged to the company receiving the services.</w:t>
            </w:r>
          </w:p>
          <w:p w:rsidR="00FC4166" w:rsidRPr="00FC4166" w:rsidRDefault="00FC4166">
            <w:pPr>
              <w:spacing w:line="276" w:lineRule="auto"/>
              <w:jc w:val="both"/>
              <w:rPr>
                <w:lang w:val="en-GB"/>
              </w:rPr>
            </w:pPr>
            <w:r>
              <w:rPr>
                <w:sz w:val="20"/>
                <w:szCs w:val="20"/>
                <w:lang w:val="en-GB"/>
              </w:rPr>
              <w:t> </w:t>
            </w:r>
          </w:p>
          <w:p w:rsidR="00FC4166" w:rsidRPr="00FC4166" w:rsidRDefault="00FC4166" w:rsidP="0008107A">
            <w:pPr>
              <w:pStyle w:val="Lijstalinea"/>
              <w:numPr>
                <w:ilvl w:val="0"/>
                <w:numId w:val="2"/>
              </w:numPr>
              <w:spacing w:line="276" w:lineRule="auto"/>
              <w:jc w:val="both"/>
              <w:rPr>
                <w:lang w:val="en-GB"/>
              </w:rPr>
            </w:pPr>
            <w:hyperlink r:id="rId6" w:history="1">
              <w:r>
                <w:rPr>
                  <w:rStyle w:val="Hyperlink"/>
                  <w:sz w:val="20"/>
                  <w:szCs w:val="20"/>
                  <w:lang w:val="en-GB" w:eastAsia="en-US"/>
                </w:rPr>
                <w:t>Opinion</w:t>
              </w:r>
            </w:hyperlink>
            <w:r>
              <w:rPr>
                <w:sz w:val="20"/>
                <w:szCs w:val="20"/>
                <w:lang w:val="en-GB" w:eastAsia="en-US"/>
              </w:rPr>
              <w:t xml:space="preserve"> (not available in English)</w:t>
            </w:r>
          </w:p>
          <w:p w:rsidR="00FC4166" w:rsidRPr="00FC4166" w:rsidRDefault="00FC4166">
            <w:pPr>
              <w:pStyle w:val="Lijstalinea"/>
              <w:spacing w:line="276" w:lineRule="auto"/>
              <w:rPr>
                <w:lang w:val="en-GB"/>
              </w:rPr>
            </w:pPr>
            <w:r>
              <w:rPr>
                <w:b/>
                <w:bCs/>
                <w:sz w:val="20"/>
                <w:szCs w:val="20"/>
                <w:lang w:val="en-GB" w:eastAsia="en-US"/>
              </w:rPr>
              <w:t> </w:t>
            </w:r>
          </w:p>
          <w:p w:rsidR="00FC4166" w:rsidRPr="00FC4166" w:rsidRDefault="00FC4166" w:rsidP="0008107A">
            <w:pPr>
              <w:pStyle w:val="Lijstalinea"/>
              <w:numPr>
                <w:ilvl w:val="0"/>
                <w:numId w:val="1"/>
              </w:numPr>
              <w:spacing w:line="276" w:lineRule="auto"/>
              <w:ind w:left="267" w:hanging="283"/>
              <w:rPr>
                <w:lang w:val="en-GB"/>
              </w:rPr>
            </w:pPr>
            <w:r>
              <w:rPr>
                <w:b/>
                <w:bCs/>
                <w:sz w:val="20"/>
                <w:szCs w:val="20"/>
                <w:lang w:val="en-GB" w:eastAsia="en-US"/>
              </w:rPr>
              <w:t>Switzerland getting ready for automatic information exchange</w:t>
            </w:r>
          </w:p>
          <w:p w:rsidR="00FC4166" w:rsidRPr="00FC4166" w:rsidRDefault="00FC4166">
            <w:pPr>
              <w:spacing w:line="276" w:lineRule="auto"/>
              <w:ind w:left="720"/>
              <w:rPr>
                <w:lang w:val="en-GB"/>
              </w:rPr>
            </w:pPr>
            <w:r>
              <w:rPr>
                <w:rFonts w:ascii="Times New Roman" w:hAnsi="Times New Roman"/>
                <w:sz w:val="24"/>
                <w:szCs w:val="24"/>
                <w:lang w:val="en-GB"/>
              </w:rPr>
              <w:t> </w:t>
            </w:r>
          </w:p>
          <w:p w:rsidR="00FC4166" w:rsidRPr="00FC4166" w:rsidRDefault="00FC4166">
            <w:pPr>
              <w:spacing w:line="276" w:lineRule="auto"/>
              <w:ind w:left="-16" w:firstLine="16"/>
              <w:rPr>
                <w:lang w:val="en-GB"/>
              </w:rPr>
            </w:pPr>
            <w:r>
              <w:rPr>
                <w:sz w:val="20"/>
                <w:szCs w:val="20"/>
                <w:lang w:val="en-GB"/>
              </w:rPr>
              <w:t xml:space="preserve">On 21 May 2014, the Swiss government has adopted draft mandates for the introduction of the global standard for automatic tax information exchange. These are to be finally adopted in autumn, following consultation with the parliamentary committees and the Cantons. </w:t>
            </w:r>
          </w:p>
          <w:p w:rsidR="00FC4166" w:rsidRPr="00FC4166" w:rsidRDefault="00FC4166">
            <w:pPr>
              <w:spacing w:line="276" w:lineRule="auto"/>
              <w:ind w:left="-16" w:firstLine="16"/>
              <w:rPr>
                <w:lang w:val="en-GB"/>
              </w:rPr>
            </w:pPr>
            <w:r>
              <w:rPr>
                <w:sz w:val="20"/>
                <w:szCs w:val="20"/>
                <w:lang w:val="en-GB"/>
              </w:rPr>
              <w:t> </w:t>
            </w:r>
          </w:p>
          <w:p w:rsidR="00FC4166" w:rsidRPr="00FC4166" w:rsidRDefault="00FC4166">
            <w:pPr>
              <w:pStyle w:val="Lijstalinea"/>
              <w:spacing w:line="276" w:lineRule="auto"/>
              <w:jc w:val="both"/>
              <w:rPr>
                <w:lang w:val="en-GB"/>
              </w:rPr>
            </w:pPr>
            <w:r>
              <w:rPr>
                <w:b/>
                <w:bCs/>
                <w:sz w:val="20"/>
                <w:szCs w:val="20"/>
                <w:lang w:val="en-GB" w:eastAsia="en-US"/>
              </w:rPr>
              <w:t> </w:t>
            </w:r>
          </w:p>
          <w:p w:rsidR="00FC4166" w:rsidRPr="00FC4166" w:rsidRDefault="00FC4166">
            <w:pPr>
              <w:autoSpaceDE w:val="0"/>
              <w:autoSpaceDN w:val="0"/>
              <w:spacing w:line="276" w:lineRule="auto"/>
              <w:jc w:val="both"/>
              <w:rPr>
                <w:lang w:val="en-GB"/>
              </w:rPr>
            </w:pPr>
            <w:r>
              <w:rPr>
                <w:b/>
                <w:bCs/>
                <w:color w:val="222222"/>
                <w:sz w:val="20"/>
                <w:szCs w:val="20"/>
                <w:lang w:val="en-GB"/>
              </w:rPr>
              <w:t>3-  ECJ Advocate-General: Different VAT treatment of books and audiobooks can be justified</w:t>
            </w:r>
          </w:p>
          <w:p w:rsidR="00FC4166" w:rsidRPr="00FC4166" w:rsidRDefault="00FC4166">
            <w:pPr>
              <w:spacing w:line="276" w:lineRule="auto"/>
              <w:jc w:val="both"/>
              <w:rPr>
                <w:lang w:val="en-GB"/>
              </w:rPr>
            </w:pPr>
            <w:r>
              <w:rPr>
                <w:sz w:val="20"/>
                <w:szCs w:val="20"/>
                <w:lang w:val="en-GB"/>
              </w:rPr>
              <w:t> </w:t>
            </w:r>
          </w:p>
          <w:p w:rsidR="00FC4166" w:rsidRDefault="00FC4166">
            <w:pPr>
              <w:spacing w:line="276" w:lineRule="auto"/>
              <w:jc w:val="both"/>
            </w:pPr>
            <w:r>
              <w:rPr>
                <w:sz w:val="20"/>
                <w:szCs w:val="20"/>
                <w:lang w:val="en-GB"/>
              </w:rPr>
              <w:t xml:space="preserve">EU Court of Justice´s Advocate-General </w:t>
            </w:r>
            <w:proofErr w:type="spellStart"/>
            <w:r>
              <w:rPr>
                <w:sz w:val="20"/>
                <w:szCs w:val="20"/>
                <w:lang w:val="en-GB"/>
              </w:rPr>
              <w:t>Mengozzi</w:t>
            </w:r>
            <w:proofErr w:type="spellEnd"/>
            <w:r>
              <w:rPr>
                <w:sz w:val="20"/>
                <w:szCs w:val="20"/>
                <w:lang w:val="en-GB"/>
              </w:rPr>
              <w:t xml:space="preserve"> has issued his opinion in a Finnish case (C-219/13) on the justification of a different VAT treatment of books and audiobooks. According to EU VAT rules, member states may apply a reduced VAT rate to all books on a physical medium, including paper, CD-ROM or USB sticks. Finland applies the reduced rate only to paper books. The Advocate-General suggests that the differences between paper books and content only accessible by means of a playing device could justify a different treatment. The opinion is not binding.</w:t>
            </w:r>
          </w:p>
          <w:p w:rsidR="00FC4166" w:rsidRDefault="00FC4166">
            <w:pPr>
              <w:spacing w:line="276" w:lineRule="auto"/>
              <w:jc w:val="both"/>
            </w:pPr>
            <w:r>
              <w:rPr>
                <w:sz w:val="20"/>
                <w:szCs w:val="20"/>
                <w:lang w:val="en-GB"/>
              </w:rPr>
              <w:t> </w:t>
            </w:r>
          </w:p>
          <w:p w:rsidR="00FC4166" w:rsidRPr="00FC4166" w:rsidRDefault="00FC4166" w:rsidP="0008107A">
            <w:pPr>
              <w:pStyle w:val="Lijstalinea"/>
              <w:numPr>
                <w:ilvl w:val="0"/>
                <w:numId w:val="2"/>
              </w:numPr>
              <w:spacing w:line="276" w:lineRule="auto"/>
              <w:jc w:val="both"/>
              <w:rPr>
                <w:lang w:val="en-GB"/>
              </w:rPr>
            </w:pPr>
            <w:hyperlink r:id="rId7" w:history="1">
              <w:r>
                <w:rPr>
                  <w:rStyle w:val="Hyperlink"/>
                  <w:sz w:val="20"/>
                  <w:szCs w:val="20"/>
                  <w:lang w:val="en-GB" w:eastAsia="en-US"/>
                </w:rPr>
                <w:t>Opinion (not available in English)</w:t>
              </w:r>
            </w:hyperlink>
          </w:p>
          <w:p w:rsidR="00FC4166" w:rsidRPr="00FC4166" w:rsidRDefault="00FC4166">
            <w:pPr>
              <w:pStyle w:val="Lijstalinea"/>
              <w:spacing w:line="276" w:lineRule="auto"/>
              <w:jc w:val="both"/>
              <w:rPr>
                <w:lang w:val="en-GB"/>
              </w:rPr>
            </w:pPr>
            <w:r>
              <w:rPr>
                <w:lang w:val="en-US"/>
              </w:rPr>
              <w:t> </w:t>
            </w:r>
          </w:p>
          <w:p w:rsidR="00FC4166" w:rsidRPr="00FC4166" w:rsidRDefault="00FC4166">
            <w:pPr>
              <w:spacing w:line="276" w:lineRule="auto"/>
              <w:jc w:val="both"/>
              <w:rPr>
                <w:lang w:val="en-GB"/>
              </w:rPr>
            </w:pPr>
            <w:r>
              <w:rPr>
                <w:b/>
                <w:bCs/>
                <w:sz w:val="20"/>
                <w:szCs w:val="20"/>
                <w:lang w:val="en-GB"/>
              </w:rPr>
              <w:t>4- State aid: Commission approves Spanish cinema support scheme</w:t>
            </w:r>
          </w:p>
          <w:p w:rsidR="00FC4166" w:rsidRPr="00FC4166" w:rsidRDefault="00FC4166">
            <w:pPr>
              <w:spacing w:line="276" w:lineRule="auto"/>
              <w:jc w:val="both"/>
              <w:rPr>
                <w:lang w:val="en-GB"/>
              </w:rPr>
            </w:pPr>
            <w:r>
              <w:rPr>
                <w:b/>
                <w:bCs/>
                <w:sz w:val="20"/>
                <w:szCs w:val="20"/>
                <w:lang w:val="en-GB"/>
              </w:rPr>
              <w:t> </w:t>
            </w:r>
          </w:p>
          <w:p w:rsidR="00FC4166" w:rsidRPr="00FC4166" w:rsidRDefault="00FC4166">
            <w:pPr>
              <w:spacing w:line="276" w:lineRule="auto"/>
              <w:jc w:val="both"/>
              <w:rPr>
                <w:lang w:val="en-GB"/>
              </w:rPr>
            </w:pPr>
            <w:r>
              <w:rPr>
                <w:sz w:val="20"/>
                <w:szCs w:val="20"/>
                <w:lang w:val="en-GB"/>
              </w:rPr>
              <w:t xml:space="preserve">On 19 May 2014, the European Commission has announced that amendments to a Spanish scheme allowing to grant tax deductions for cinema and audio-visual productions to be in line with EU state aid rules. The Commission concluded, in particular, that the benefit of the scheme is not contingent on </w:t>
            </w:r>
            <w:r>
              <w:rPr>
                <w:sz w:val="20"/>
                <w:szCs w:val="20"/>
                <w:lang w:val="en-GB"/>
              </w:rPr>
              <w:lastRenderedPageBreak/>
              <w:t>spending a certain proportion of the production costs in Spain and therefore complies with the November 2013 EU criteria for cinema support.</w:t>
            </w:r>
          </w:p>
          <w:p w:rsidR="00FC4166" w:rsidRPr="00FC4166" w:rsidRDefault="00FC4166">
            <w:pPr>
              <w:spacing w:line="276" w:lineRule="auto"/>
              <w:jc w:val="both"/>
              <w:rPr>
                <w:lang w:val="en-GB"/>
              </w:rPr>
            </w:pPr>
            <w:r>
              <w:rPr>
                <w:sz w:val="20"/>
                <w:szCs w:val="20"/>
                <w:lang w:val="en-GB"/>
              </w:rPr>
              <w:t> </w:t>
            </w:r>
          </w:p>
          <w:p w:rsidR="00FC4166" w:rsidRDefault="00FC4166" w:rsidP="0008107A">
            <w:pPr>
              <w:pStyle w:val="Lijstalinea"/>
              <w:numPr>
                <w:ilvl w:val="0"/>
                <w:numId w:val="2"/>
              </w:numPr>
              <w:spacing w:line="276" w:lineRule="auto"/>
            </w:pPr>
            <w:hyperlink r:id="rId8" w:history="1">
              <w:r>
                <w:rPr>
                  <w:rStyle w:val="Hyperlink"/>
                  <w:sz w:val="20"/>
                  <w:szCs w:val="20"/>
                  <w:lang w:val="en-GB" w:eastAsia="en-US"/>
                </w:rPr>
                <w:t>Press release</w:t>
              </w:r>
            </w:hyperlink>
          </w:p>
          <w:p w:rsidR="00FC4166" w:rsidRDefault="00FC4166">
            <w:pPr>
              <w:spacing w:line="276" w:lineRule="auto"/>
              <w:jc w:val="both"/>
            </w:pPr>
            <w:r>
              <w:t> </w:t>
            </w:r>
          </w:p>
          <w:p w:rsidR="00FC4166" w:rsidRDefault="00FC4166">
            <w:pPr>
              <w:spacing w:line="276" w:lineRule="auto"/>
              <w:jc w:val="both"/>
            </w:pPr>
            <w:r>
              <w:rPr>
                <w:sz w:val="20"/>
                <w:szCs w:val="20"/>
                <w:lang w:val="en-GB"/>
              </w:rPr>
              <w:t> </w:t>
            </w:r>
          </w:p>
          <w:p w:rsidR="00FC4166" w:rsidRDefault="00FC4166">
            <w:pPr>
              <w:spacing w:line="276" w:lineRule="auto"/>
              <w:jc w:val="center"/>
            </w:pPr>
            <w:r>
              <w:rPr>
                <w:sz w:val="20"/>
                <w:szCs w:val="20"/>
                <w:lang w:val="en-GB"/>
              </w:rPr>
              <w:t>*****</w:t>
            </w:r>
          </w:p>
          <w:p w:rsidR="00FC4166" w:rsidRDefault="00FC4166">
            <w:pPr>
              <w:spacing w:line="276" w:lineRule="auto"/>
              <w:jc w:val="both"/>
            </w:pPr>
            <w:r>
              <w:rPr>
                <w:sz w:val="20"/>
                <w:szCs w:val="20"/>
                <w:lang w:val="en-GB"/>
              </w:rPr>
              <w:t> </w:t>
            </w:r>
          </w:p>
          <w:p w:rsidR="00FC4166" w:rsidRPr="00FC4166" w:rsidRDefault="00FC4166">
            <w:pPr>
              <w:pStyle w:val="Lijstalinea"/>
              <w:spacing w:line="276" w:lineRule="auto"/>
              <w:ind w:left="126"/>
              <w:jc w:val="center"/>
              <w:rPr>
                <w:lang w:val="en-GB"/>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r>
              <w:rPr>
                <w:i/>
                <w:iCs/>
                <w:sz w:val="20"/>
                <w:szCs w:val="20"/>
                <w:lang w:val="en-GB" w:eastAsia="en-US"/>
              </w:rPr>
              <w:t xml:space="preserve"> </w:t>
            </w:r>
          </w:p>
          <w:p w:rsidR="00FC4166" w:rsidRPr="00FC4166" w:rsidRDefault="00FC4166">
            <w:pPr>
              <w:pStyle w:val="Lijstalinea"/>
              <w:spacing w:line="276" w:lineRule="auto"/>
              <w:ind w:left="126"/>
              <w:jc w:val="center"/>
              <w:rPr>
                <w:lang w:val="en-GB"/>
              </w:rPr>
            </w:pPr>
            <w:r>
              <w:rPr>
                <w:i/>
                <w:iCs/>
                <w:sz w:val="20"/>
                <w:szCs w:val="20"/>
                <w:lang w:val="en-GB" w:eastAsia="en-US"/>
              </w:rPr>
              <w:t> </w:t>
            </w:r>
          </w:p>
          <w:p w:rsidR="00FC4166" w:rsidRDefault="00FC4166">
            <w:pPr>
              <w:pStyle w:val="Lijstalinea"/>
              <w:spacing w:line="276" w:lineRule="auto"/>
              <w:ind w:left="126"/>
              <w:jc w:val="center"/>
            </w:pPr>
            <w:hyperlink r:id="rId9" w:history="1">
              <w:r>
                <w:rPr>
                  <w:rStyle w:val="Hyperlink"/>
                  <w:i/>
                  <w:iCs/>
                  <w:sz w:val="20"/>
                  <w:szCs w:val="20"/>
                  <w:lang w:val="en-GB" w:eastAsia="en-US"/>
                </w:rPr>
                <w:t>www.cfe-eutax.org</w:t>
              </w:r>
            </w:hyperlink>
            <w:r>
              <w:rPr>
                <w:i/>
                <w:iCs/>
                <w:lang w:eastAsia="en-US"/>
              </w:rPr>
              <w:t xml:space="preserve"> </w:t>
            </w:r>
          </w:p>
        </w:tc>
      </w:tr>
      <w:tr w:rsidR="00FC4166" w:rsidTr="00FC4166">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FC4166">
              <w:trPr>
                <w:tblCellSpacing w:w="0" w:type="dxa"/>
              </w:trPr>
              <w:tc>
                <w:tcPr>
                  <w:tcW w:w="0" w:type="auto"/>
                  <w:vAlign w:val="center"/>
                  <w:hideMark/>
                </w:tcPr>
                <w:p w:rsidR="00FC4166" w:rsidRDefault="00FC4166">
                  <w:pPr>
                    <w:spacing w:line="276" w:lineRule="auto"/>
                  </w:pPr>
                  <w:r>
                    <w:rPr>
                      <w:lang w:val="en-GB"/>
                    </w:rPr>
                    <w:lastRenderedPageBreak/>
                    <w:t> </w:t>
                  </w:r>
                </w:p>
              </w:tc>
            </w:tr>
          </w:tbl>
          <w:p w:rsidR="00FC4166" w:rsidRDefault="00FC4166">
            <w:pPr>
              <w:rPr>
                <w:rFonts w:ascii="Times New Roman" w:eastAsia="Times New Roman" w:hAnsi="Times New Roman"/>
                <w:sz w:val="20"/>
                <w:szCs w:val="20"/>
                <w:lang w:eastAsia="nl-NL"/>
              </w:rPr>
            </w:pPr>
          </w:p>
        </w:tc>
      </w:tr>
    </w:tbl>
    <w:p w:rsidR="00FC4166" w:rsidRDefault="00FC4166" w:rsidP="00FC4166">
      <w:r>
        <w:rPr>
          <w:color w:val="1F497D"/>
          <w:lang w:val="en-US"/>
        </w:rPr>
        <w:t> </w:t>
      </w:r>
    </w:p>
    <w:p w:rsidR="00205106" w:rsidRDefault="00205106"/>
    <w:sectPr w:rsidR="00205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77C0F"/>
    <w:multiLevelType w:val="hybridMultilevel"/>
    <w:tmpl w:val="4CB05B42"/>
    <w:lvl w:ilvl="0" w:tplc="04FCABCC">
      <w:start w:val="1"/>
      <w:numFmt w:val="bullet"/>
      <w:lvlText w:val="-"/>
      <w:lvlJc w:val="left"/>
      <w:pPr>
        <w:ind w:left="1080" w:hanging="360"/>
      </w:pPr>
      <w:rPr>
        <w:rFonts w:ascii="Calibri" w:eastAsia="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36105223"/>
    <w:multiLevelType w:val="hybridMultilevel"/>
    <w:tmpl w:val="DAC41AF8"/>
    <w:lvl w:ilvl="0" w:tplc="B496654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66"/>
    <w:rsid w:val="00205106"/>
    <w:rsid w:val="003B7674"/>
    <w:rsid w:val="00B21468"/>
    <w:rsid w:val="00FC4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BA135-7CBC-4C75-B984-D38B4444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4166"/>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C4166"/>
    <w:rPr>
      <w:color w:val="0000FF"/>
      <w:u w:val="single"/>
    </w:rPr>
  </w:style>
  <w:style w:type="paragraph" w:styleId="Lijstalinea">
    <w:name w:val="List Paragraph"/>
    <w:basedOn w:val="Standaard"/>
    <w:uiPriority w:val="34"/>
    <w:qFormat/>
    <w:rsid w:val="00FC4166"/>
    <w:pPr>
      <w:ind w:left="720"/>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0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midday-express-19-05-2014.htm" TargetMode="External"/><Relationship Id="rId3" Type="http://schemas.openxmlformats.org/officeDocument/2006/relationships/settings" Target="settings.xml"/><Relationship Id="rId7" Type="http://schemas.openxmlformats.org/officeDocument/2006/relationships/hyperlink" Target="http://curia.europa.eu/juris/celex.jsf?celex=62013CC0219&amp;lang1=en&amp;type=TXT&amp;anc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ria.europa.eu/juris/celex.jsf?celex=62012CC0605&amp;lang1=en&amp;type=TXT&amp;ancr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fe-eutax.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B721A315.dotm</Template>
  <TotalTime>1</TotalTime>
  <Pages>2</Pages>
  <Words>475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1</cp:revision>
  <dcterms:created xsi:type="dcterms:W3CDTF">2014-07-04T10:32:00Z</dcterms:created>
  <dcterms:modified xsi:type="dcterms:W3CDTF">2014-07-04T10:33:00Z</dcterms:modified>
</cp:coreProperties>
</file>