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77" w:rsidRDefault="00087077" w:rsidP="00087077">
      <w:pPr>
        <w:rPr>
          <w:color w:val="1F497D"/>
          <w:lang w:val="en-US"/>
        </w:rPr>
      </w:pPr>
      <w:bookmarkStart w:id="0" w:name="_GoBack"/>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072"/>
      </w:tblGrid>
      <w:tr w:rsidR="00087077" w:rsidTr="00087077">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8466"/>
              <w:gridCol w:w="6"/>
            </w:tblGrid>
            <w:tr w:rsidR="00087077">
              <w:trPr>
                <w:tblCellSpacing w:w="0" w:type="dxa"/>
              </w:trPr>
              <w:tc>
                <w:tcPr>
                  <w:tcW w:w="8205" w:type="dxa"/>
                  <w:vAlign w:val="center"/>
                  <w:hideMark/>
                </w:tcPr>
                <w:bookmarkEnd w:id="0"/>
                <w:p w:rsidR="00087077" w:rsidRDefault="00087077">
                  <w:pPr>
                    <w:spacing w:line="276" w:lineRule="auto"/>
                    <w:jc w:val="right"/>
                    <w:rPr>
                      <w:lang w:val="en-GB"/>
                    </w:rPr>
                  </w:pPr>
                  <w:r>
                    <w:rPr>
                      <w:noProof/>
                      <w:lang w:eastAsia="nl-NL"/>
                    </w:rPr>
                    <w:drawing>
                      <wp:inline distT="0" distB="0" distL="0" distR="0">
                        <wp:extent cx="5765165" cy="664845"/>
                        <wp:effectExtent l="0" t="0" r="6985" b="1905"/>
                        <wp:docPr id="1" name="Afbeelding 1" descr="cid:image002.jpg@01CF7359.B382A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7359.B382A1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5165" cy="664845"/>
                                </a:xfrm>
                                <a:prstGeom prst="rect">
                                  <a:avLst/>
                                </a:prstGeom>
                                <a:noFill/>
                                <a:ln>
                                  <a:noFill/>
                                </a:ln>
                              </pic:spPr>
                            </pic:pic>
                          </a:graphicData>
                        </a:graphic>
                      </wp:inline>
                    </w:drawing>
                  </w:r>
                </w:p>
              </w:tc>
              <w:tc>
                <w:tcPr>
                  <w:tcW w:w="0" w:type="auto"/>
                  <w:vAlign w:val="center"/>
                </w:tcPr>
                <w:p w:rsidR="00087077" w:rsidRDefault="00087077">
                  <w:pPr>
                    <w:spacing w:line="276" w:lineRule="auto"/>
                    <w:jc w:val="right"/>
                    <w:rPr>
                      <w:color w:val="ACABAB"/>
                      <w:lang w:val="en-GB"/>
                    </w:rPr>
                  </w:pPr>
                </w:p>
                <w:p w:rsidR="00087077" w:rsidRDefault="00087077">
                  <w:pPr>
                    <w:spacing w:line="276" w:lineRule="auto"/>
                    <w:jc w:val="right"/>
                    <w:rPr>
                      <w:color w:val="ACABAB"/>
                      <w:lang w:val="en-GB"/>
                    </w:rPr>
                  </w:pPr>
                </w:p>
              </w:tc>
            </w:tr>
          </w:tbl>
          <w:p w:rsidR="00087077" w:rsidRDefault="00087077">
            <w:pPr>
              <w:spacing w:line="276" w:lineRule="auto"/>
              <w:jc w:val="right"/>
              <w:rPr>
                <w:b/>
                <w:bCs/>
                <w:sz w:val="20"/>
                <w:szCs w:val="20"/>
                <w:lang w:val="en-GB"/>
              </w:rPr>
            </w:pPr>
            <w:r>
              <w:rPr>
                <w:b/>
                <w:bCs/>
                <w:sz w:val="20"/>
                <w:szCs w:val="20"/>
                <w:lang w:val="en-GB"/>
              </w:rPr>
              <w:t>19 May 2014</w:t>
            </w:r>
          </w:p>
          <w:p w:rsidR="00087077" w:rsidRDefault="00087077">
            <w:pPr>
              <w:pStyle w:val="Lijstalinea"/>
              <w:spacing w:line="276" w:lineRule="auto"/>
              <w:ind w:left="0"/>
              <w:jc w:val="both"/>
              <w:rPr>
                <w:sz w:val="20"/>
                <w:szCs w:val="20"/>
                <w:lang w:val="en-GB" w:eastAsia="en-US"/>
              </w:rPr>
            </w:pPr>
          </w:p>
          <w:p w:rsidR="00087077" w:rsidRDefault="00087077">
            <w:pPr>
              <w:pStyle w:val="Lijstalinea"/>
              <w:spacing w:line="276" w:lineRule="auto"/>
              <w:ind w:left="0"/>
              <w:jc w:val="both"/>
              <w:rPr>
                <w:sz w:val="20"/>
                <w:szCs w:val="20"/>
                <w:lang w:val="en-GB" w:eastAsia="en-US"/>
              </w:rPr>
            </w:pPr>
          </w:p>
          <w:p w:rsidR="00087077" w:rsidRDefault="00087077" w:rsidP="00263902">
            <w:pPr>
              <w:pStyle w:val="Lijstalinea"/>
              <w:numPr>
                <w:ilvl w:val="0"/>
                <w:numId w:val="1"/>
              </w:numPr>
              <w:spacing w:line="276" w:lineRule="auto"/>
              <w:ind w:left="267" w:hanging="283"/>
              <w:rPr>
                <w:b/>
                <w:bCs/>
                <w:sz w:val="20"/>
                <w:szCs w:val="20"/>
                <w:lang w:val="en-GB" w:eastAsia="en-US"/>
              </w:rPr>
            </w:pPr>
            <w:r>
              <w:rPr>
                <w:b/>
                <w:bCs/>
                <w:sz w:val="20"/>
                <w:szCs w:val="20"/>
                <w:lang w:val="en-GB" w:eastAsia="en-US"/>
              </w:rPr>
              <w:t>New BEPS webcast on 26 May</w:t>
            </w:r>
          </w:p>
          <w:p w:rsidR="00087077" w:rsidRDefault="00087077">
            <w:pPr>
              <w:spacing w:line="276" w:lineRule="auto"/>
              <w:ind w:left="720"/>
              <w:rPr>
                <w:rFonts w:ascii="Times New Roman" w:hAnsi="Times New Roman"/>
                <w:sz w:val="24"/>
                <w:szCs w:val="24"/>
                <w:lang w:val="en-GB"/>
              </w:rPr>
            </w:pPr>
          </w:p>
          <w:p w:rsidR="00087077" w:rsidRDefault="00087077">
            <w:pPr>
              <w:spacing w:line="276" w:lineRule="auto"/>
              <w:ind w:left="-16" w:firstLine="16"/>
              <w:rPr>
                <w:sz w:val="20"/>
                <w:szCs w:val="20"/>
                <w:lang w:val="en-GB"/>
              </w:rPr>
            </w:pPr>
            <w:r>
              <w:rPr>
                <w:sz w:val="20"/>
                <w:szCs w:val="20"/>
                <w:lang w:val="en-GB"/>
              </w:rPr>
              <w:t>The OECD is planning a webcast on 26 May 2014, 13:00 - 14:00 h CET, providing an update on its BEPS (base erosion and profit shifting) Action Plan, notably on the recent consultations on</w:t>
            </w:r>
          </w:p>
          <w:p w:rsidR="00087077" w:rsidRDefault="00087077" w:rsidP="00263902">
            <w:pPr>
              <w:pStyle w:val="Lijstalinea"/>
              <w:numPr>
                <w:ilvl w:val="0"/>
                <w:numId w:val="2"/>
              </w:numPr>
              <w:spacing w:line="276" w:lineRule="auto"/>
              <w:rPr>
                <w:sz w:val="20"/>
                <w:szCs w:val="20"/>
                <w:lang w:val="en-GB" w:eastAsia="en-US"/>
              </w:rPr>
            </w:pPr>
            <w:r>
              <w:rPr>
                <w:sz w:val="20"/>
                <w:szCs w:val="20"/>
                <w:lang w:val="en-GB" w:eastAsia="en-US"/>
              </w:rPr>
              <w:t>Transfer Pricing Documentation and Country-by-Country Reporting (Action 13)</w:t>
            </w:r>
          </w:p>
          <w:p w:rsidR="00087077" w:rsidRDefault="00087077" w:rsidP="00263902">
            <w:pPr>
              <w:pStyle w:val="Lijstalinea"/>
              <w:numPr>
                <w:ilvl w:val="0"/>
                <w:numId w:val="2"/>
              </w:numPr>
              <w:spacing w:line="276" w:lineRule="auto"/>
              <w:rPr>
                <w:sz w:val="20"/>
                <w:szCs w:val="20"/>
                <w:lang w:val="en-GB" w:eastAsia="en-US"/>
              </w:rPr>
            </w:pPr>
            <w:r>
              <w:rPr>
                <w:sz w:val="20"/>
                <w:szCs w:val="20"/>
                <w:lang w:val="en-GB" w:eastAsia="en-US"/>
              </w:rPr>
              <w:t>Tax Treaty Abuse (Action 6)</w:t>
            </w:r>
          </w:p>
          <w:p w:rsidR="00087077" w:rsidRDefault="00087077" w:rsidP="00263902">
            <w:pPr>
              <w:pStyle w:val="Lijstalinea"/>
              <w:numPr>
                <w:ilvl w:val="0"/>
                <w:numId w:val="2"/>
              </w:numPr>
              <w:spacing w:line="276" w:lineRule="auto"/>
              <w:rPr>
                <w:sz w:val="20"/>
                <w:szCs w:val="20"/>
                <w:lang w:val="en-GB" w:eastAsia="en-US"/>
              </w:rPr>
            </w:pPr>
            <w:r>
              <w:rPr>
                <w:sz w:val="20"/>
                <w:szCs w:val="20"/>
                <w:lang w:val="en-GB" w:eastAsia="en-US"/>
              </w:rPr>
              <w:t>The Tax Challenges of the Digital Economy (Action 1)</w:t>
            </w:r>
          </w:p>
          <w:p w:rsidR="00087077" w:rsidRDefault="00087077" w:rsidP="00263902">
            <w:pPr>
              <w:pStyle w:val="Lijstalinea"/>
              <w:numPr>
                <w:ilvl w:val="0"/>
                <w:numId w:val="2"/>
              </w:numPr>
              <w:spacing w:line="276" w:lineRule="auto"/>
              <w:rPr>
                <w:sz w:val="20"/>
                <w:szCs w:val="20"/>
                <w:lang w:val="en-GB" w:eastAsia="en-US"/>
              </w:rPr>
            </w:pPr>
            <w:r>
              <w:rPr>
                <w:sz w:val="20"/>
                <w:szCs w:val="20"/>
                <w:lang w:val="en-GB" w:eastAsia="en-US"/>
              </w:rPr>
              <w:t>Hybrid Mismatch Arrangements (Action 2).</w:t>
            </w:r>
          </w:p>
          <w:p w:rsidR="00087077" w:rsidRDefault="00087077">
            <w:pPr>
              <w:spacing w:line="276" w:lineRule="auto"/>
              <w:rPr>
                <w:sz w:val="20"/>
                <w:szCs w:val="20"/>
                <w:lang w:val="en-GB"/>
              </w:rPr>
            </w:pPr>
            <w:r>
              <w:rPr>
                <w:sz w:val="20"/>
                <w:szCs w:val="20"/>
                <w:lang w:val="en-GB"/>
              </w:rPr>
              <w:t>On-line registration is required.</w:t>
            </w:r>
          </w:p>
          <w:p w:rsidR="00087077" w:rsidRDefault="00087077">
            <w:pPr>
              <w:pStyle w:val="Lijstalinea"/>
              <w:spacing w:line="276" w:lineRule="auto"/>
              <w:ind w:left="0"/>
              <w:jc w:val="both"/>
              <w:rPr>
                <w:sz w:val="20"/>
                <w:szCs w:val="20"/>
                <w:lang w:val="en-GB" w:eastAsia="en-US"/>
              </w:rPr>
            </w:pPr>
          </w:p>
          <w:p w:rsidR="00087077" w:rsidRDefault="00087077" w:rsidP="00263902">
            <w:pPr>
              <w:pStyle w:val="Lijstalinea"/>
              <w:numPr>
                <w:ilvl w:val="0"/>
                <w:numId w:val="3"/>
              </w:numPr>
              <w:spacing w:line="276" w:lineRule="auto"/>
              <w:jc w:val="both"/>
              <w:rPr>
                <w:lang w:eastAsia="en-US"/>
              </w:rPr>
            </w:pPr>
            <w:hyperlink r:id="rId7" w:history="1">
              <w:r>
                <w:rPr>
                  <w:rStyle w:val="Hyperlink"/>
                  <w:lang w:val="en-GB" w:eastAsia="en-US"/>
                </w:rPr>
                <w:t>Registration</w:t>
              </w:r>
            </w:hyperlink>
          </w:p>
          <w:p w:rsidR="00087077" w:rsidRDefault="00087077">
            <w:pPr>
              <w:pStyle w:val="Lijstalinea"/>
              <w:spacing w:line="276" w:lineRule="auto"/>
              <w:jc w:val="both"/>
              <w:rPr>
                <w:b/>
                <w:bCs/>
                <w:sz w:val="20"/>
                <w:szCs w:val="20"/>
                <w:lang w:val="en-GB" w:eastAsia="en-US"/>
              </w:rPr>
            </w:pPr>
          </w:p>
          <w:p w:rsidR="00087077" w:rsidRDefault="00087077">
            <w:pPr>
              <w:pStyle w:val="Lijstalinea"/>
              <w:spacing w:line="276" w:lineRule="auto"/>
              <w:jc w:val="both"/>
              <w:rPr>
                <w:b/>
                <w:bCs/>
                <w:sz w:val="20"/>
                <w:szCs w:val="20"/>
                <w:lang w:val="en-GB" w:eastAsia="en-US"/>
              </w:rPr>
            </w:pPr>
          </w:p>
          <w:p w:rsidR="00087077" w:rsidRDefault="00087077">
            <w:pPr>
              <w:autoSpaceDE w:val="0"/>
              <w:autoSpaceDN w:val="0"/>
              <w:spacing w:line="276" w:lineRule="auto"/>
              <w:jc w:val="both"/>
              <w:rPr>
                <w:b/>
                <w:bCs/>
                <w:color w:val="222222"/>
                <w:sz w:val="20"/>
                <w:szCs w:val="20"/>
                <w:lang w:val="en-GB"/>
              </w:rPr>
            </w:pPr>
            <w:r>
              <w:rPr>
                <w:b/>
                <w:bCs/>
                <w:color w:val="222222"/>
                <w:sz w:val="20"/>
                <w:szCs w:val="20"/>
                <w:lang w:val="en-GB"/>
              </w:rPr>
              <w:t>2-  OECD reports progress on tax agenda</w:t>
            </w:r>
          </w:p>
          <w:p w:rsidR="00087077" w:rsidRDefault="00087077">
            <w:pPr>
              <w:spacing w:line="276" w:lineRule="auto"/>
              <w:jc w:val="both"/>
              <w:rPr>
                <w:sz w:val="20"/>
                <w:szCs w:val="20"/>
                <w:lang w:val="en-GB"/>
              </w:rPr>
            </w:pPr>
          </w:p>
          <w:p w:rsidR="00087077" w:rsidRDefault="00087077">
            <w:pPr>
              <w:spacing w:line="276" w:lineRule="auto"/>
              <w:jc w:val="both"/>
              <w:rPr>
                <w:sz w:val="20"/>
                <w:szCs w:val="20"/>
                <w:lang w:val="en-GB"/>
              </w:rPr>
            </w:pPr>
            <w:r>
              <w:rPr>
                <w:sz w:val="20"/>
                <w:szCs w:val="20"/>
                <w:lang w:val="en-GB"/>
              </w:rPr>
              <w:t>The OECD has released a document providing an overview on the progress achieved and the next steps in various OECD tax dossiers, namely BEPS, exchange of information and tax and development.</w:t>
            </w:r>
          </w:p>
          <w:p w:rsidR="00087077" w:rsidRDefault="00087077">
            <w:pPr>
              <w:spacing w:line="276" w:lineRule="auto"/>
              <w:jc w:val="both"/>
              <w:rPr>
                <w:sz w:val="20"/>
                <w:szCs w:val="20"/>
                <w:lang w:val="en-GB"/>
              </w:rPr>
            </w:pPr>
          </w:p>
          <w:p w:rsidR="00087077" w:rsidRDefault="00087077" w:rsidP="00263902">
            <w:pPr>
              <w:pStyle w:val="Lijstalinea"/>
              <w:numPr>
                <w:ilvl w:val="0"/>
                <w:numId w:val="3"/>
              </w:numPr>
              <w:spacing w:line="276" w:lineRule="auto"/>
              <w:jc w:val="both"/>
              <w:rPr>
                <w:rStyle w:val="Hyperlink"/>
                <w:lang w:val="en-US"/>
              </w:rPr>
            </w:pPr>
            <w:hyperlink r:id="rId8" w:history="1">
              <w:r>
                <w:rPr>
                  <w:rStyle w:val="Hyperlink"/>
                  <w:sz w:val="20"/>
                  <w:szCs w:val="20"/>
                  <w:lang w:val="en-GB" w:eastAsia="en-US"/>
                </w:rPr>
                <w:t>“Bringing the international tax rules into the 21</w:t>
              </w:r>
              <w:r>
                <w:rPr>
                  <w:rStyle w:val="Hyperlink"/>
                  <w:sz w:val="20"/>
                  <w:szCs w:val="20"/>
                  <w:vertAlign w:val="superscript"/>
                  <w:lang w:val="en-GB" w:eastAsia="en-US"/>
                </w:rPr>
                <w:t>st</w:t>
              </w:r>
              <w:r>
                <w:rPr>
                  <w:rStyle w:val="Hyperlink"/>
                  <w:sz w:val="20"/>
                  <w:szCs w:val="20"/>
                  <w:lang w:val="en-GB" w:eastAsia="en-US"/>
                </w:rPr>
                <w:t xml:space="preserve"> century”</w:t>
              </w:r>
            </w:hyperlink>
          </w:p>
          <w:p w:rsidR="00087077" w:rsidRPr="00087077" w:rsidRDefault="00087077">
            <w:pPr>
              <w:pStyle w:val="Lijstalinea"/>
              <w:spacing w:line="276" w:lineRule="auto"/>
              <w:jc w:val="both"/>
              <w:rPr>
                <w:lang w:val="en-GB"/>
              </w:rPr>
            </w:pPr>
          </w:p>
          <w:p w:rsidR="00087077" w:rsidRDefault="00087077">
            <w:pPr>
              <w:spacing w:line="276" w:lineRule="auto"/>
              <w:jc w:val="both"/>
              <w:rPr>
                <w:b/>
                <w:bCs/>
                <w:sz w:val="20"/>
                <w:szCs w:val="20"/>
                <w:lang w:val="en-GB"/>
              </w:rPr>
            </w:pPr>
            <w:r>
              <w:rPr>
                <w:b/>
                <w:bCs/>
                <w:sz w:val="20"/>
                <w:szCs w:val="20"/>
                <w:lang w:val="en-GB"/>
              </w:rPr>
              <w:t>3- ECJ: National law may not deny right to reduction of VAT taxable amount in case of cancellation, refusal, non-payment or price reduction after supply</w:t>
            </w:r>
          </w:p>
          <w:p w:rsidR="00087077" w:rsidRDefault="00087077">
            <w:pPr>
              <w:spacing w:line="276" w:lineRule="auto"/>
              <w:jc w:val="both"/>
              <w:rPr>
                <w:b/>
                <w:bCs/>
                <w:sz w:val="20"/>
                <w:szCs w:val="20"/>
                <w:lang w:val="en-GB"/>
              </w:rPr>
            </w:pPr>
          </w:p>
          <w:p w:rsidR="00087077" w:rsidRDefault="00087077">
            <w:pPr>
              <w:spacing w:line="276" w:lineRule="auto"/>
              <w:jc w:val="both"/>
              <w:rPr>
                <w:sz w:val="20"/>
                <w:szCs w:val="20"/>
                <w:lang w:val="en-GB"/>
              </w:rPr>
            </w:pPr>
            <w:r>
              <w:rPr>
                <w:sz w:val="20"/>
                <w:szCs w:val="20"/>
                <w:lang w:val="en-GB"/>
              </w:rPr>
              <w:t>On 15 May 2014, the European Court of Justice delivered its judgment in preliminary ruling case C</w:t>
            </w:r>
            <w:r>
              <w:rPr>
                <w:sz w:val="20"/>
                <w:szCs w:val="20"/>
                <w:lang w:val="en-GB"/>
              </w:rPr>
              <w:noBreakHyphen/>
              <w:t xml:space="preserve">337/13, </w:t>
            </w:r>
            <w:proofErr w:type="spellStart"/>
            <w:r>
              <w:rPr>
                <w:sz w:val="20"/>
                <w:szCs w:val="20"/>
                <w:lang w:val="en-GB"/>
              </w:rPr>
              <w:t>Almos</w:t>
            </w:r>
            <w:proofErr w:type="spellEnd"/>
            <w:r>
              <w:rPr>
                <w:sz w:val="20"/>
                <w:szCs w:val="20"/>
                <w:lang w:val="en-GB"/>
              </w:rPr>
              <w:t>, upon reference from the Hungarian Supreme Court (</w:t>
            </w:r>
            <w:proofErr w:type="spellStart"/>
            <w:r>
              <w:rPr>
                <w:sz w:val="20"/>
                <w:szCs w:val="20"/>
                <w:lang w:val="en-GB"/>
              </w:rPr>
              <w:t>Kúria</w:t>
            </w:r>
            <w:proofErr w:type="spellEnd"/>
            <w:r>
              <w:rPr>
                <w:sz w:val="20"/>
                <w:szCs w:val="20"/>
                <w:lang w:val="en-GB"/>
              </w:rPr>
              <w:t>), stating that taxable persons may rely on the VAT Directive before national courts against the Member State to obtain a reduction of their taxable amount for VAT in case of cancellation, refusal, non-payment or price reduction after the supply takes place. National law may impose formalities which serve to prove that the conditions for the reduction have been met, to the extent these proofs are necessary.</w:t>
            </w:r>
          </w:p>
          <w:p w:rsidR="00087077" w:rsidRDefault="00087077">
            <w:pPr>
              <w:spacing w:line="276" w:lineRule="auto"/>
              <w:jc w:val="both"/>
              <w:rPr>
                <w:sz w:val="20"/>
                <w:szCs w:val="20"/>
                <w:lang w:val="en-GB"/>
              </w:rPr>
            </w:pPr>
          </w:p>
          <w:p w:rsidR="00087077" w:rsidRDefault="00087077" w:rsidP="00263902">
            <w:pPr>
              <w:pStyle w:val="Lijstalinea"/>
              <w:numPr>
                <w:ilvl w:val="0"/>
                <w:numId w:val="4"/>
              </w:numPr>
              <w:spacing w:line="276" w:lineRule="auto"/>
              <w:jc w:val="both"/>
              <w:rPr>
                <w:sz w:val="20"/>
                <w:szCs w:val="20"/>
                <w:lang w:val="en-GB" w:eastAsia="en-US"/>
              </w:rPr>
            </w:pPr>
            <w:hyperlink r:id="rId9" w:history="1">
              <w:r>
                <w:rPr>
                  <w:rStyle w:val="Hyperlink"/>
                  <w:sz w:val="20"/>
                  <w:szCs w:val="20"/>
                  <w:lang w:val="en-GB" w:eastAsia="en-US"/>
                </w:rPr>
                <w:t>Judgment</w:t>
              </w:r>
            </w:hyperlink>
          </w:p>
          <w:p w:rsidR="00087077" w:rsidRDefault="00087077">
            <w:pPr>
              <w:spacing w:line="276" w:lineRule="auto"/>
              <w:jc w:val="both"/>
              <w:rPr>
                <w:sz w:val="20"/>
                <w:szCs w:val="20"/>
                <w:lang w:val="en-GB"/>
              </w:rPr>
            </w:pPr>
          </w:p>
          <w:p w:rsidR="00087077" w:rsidRDefault="00087077">
            <w:pPr>
              <w:spacing w:line="276" w:lineRule="auto"/>
              <w:jc w:val="center"/>
              <w:rPr>
                <w:sz w:val="20"/>
                <w:szCs w:val="20"/>
                <w:lang w:val="en-GB"/>
              </w:rPr>
            </w:pPr>
            <w:r>
              <w:rPr>
                <w:sz w:val="20"/>
                <w:szCs w:val="20"/>
                <w:lang w:val="en-GB"/>
              </w:rPr>
              <w:t>*****</w:t>
            </w:r>
          </w:p>
          <w:p w:rsidR="00087077" w:rsidRDefault="00087077">
            <w:pPr>
              <w:spacing w:line="276" w:lineRule="auto"/>
              <w:jc w:val="both"/>
              <w:rPr>
                <w:sz w:val="20"/>
                <w:szCs w:val="20"/>
                <w:lang w:val="en-GB"/>
              </w:rPr>
            </w:pPr>
          </w:p>
          <w:p w:rsidR="00087077" w:rsidRDefault="00087077">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r>
              <w:rPr>
                <w:i/>
                <w:iCs/>
                <w:sz w:val="20"/>
                <w:szCs w:val="20"/>
                <w:lang w:val="en-GB" w:eastAsia="en-US"/>
              </w:rPr>
              <w:t xml:space="preserve"> </w:t>
            </w:r>
          </w:p>
          <w:p w:rsidR="00087077" w:rsidRDefault="00087077">
            <w:pPr>
              <w:pStyle w:val="Lijstalinea"/>
              <w:spacing w:line="276" w:lineRule="auto"/>
              <w:ind w:left="126"/>
              <w:jc w:val="center"/>
              <w:rPr>
                <w:i/>
                <w:iCs/>
                <w:sz w:val="20"/>
                <w:szCs w:val="20"/>
                <w:lang w:val="en-GB" w:eastAsia="en-US"/>
              </w:rPr>
            </w:pPr>
          </w:p>
          <w:p w:rsidR="00087077" w:rsidRDefault="00087077">
            <w:pPr>
              <w:pStyle w:val="Lijstalinea"/>
              <w:spacing w:line="276" w:lineRule="auto"/>
              <w:ind w:left="126"/>
              <w:jc w:val="center"/>
              <w:rPr>
                <w:i/>
                <w:iCs/>
                <w:lang w:val="en-GB" w:eastAsia="en-US"/>
              </w:rPr>
            </w:pPr>
            <w:hyperlink r:id="rId10" w:history="1">
              <w:r>
                <w:rPr>
                  <w:rStyle w:val="Hyperlink"/>
                  <w:i/>
                  <w:iCs/>
                  <w:sz w:val="20"/>
                  <w:szCs w:val="20"/>
                  <w:lang w:val="en-GB" w:eastAsia="en-US"/>
                </w:rPr>
                <w:t>www.cfe-eutax.org</w:t>
              </w:r>
            </w:hyperlink>
            <w:r>
              <w:rPr>
                <w:i/>
                <w:iCs/>
                <w:lang w:eastAsia="en-US"/>
              </w:rPr>
              <w:t xml:space="preserve"> </w:t>
            </w:r>
          </w:p>
        </w:tc>
      </w:tr>
      <w:tr w:rsidR="00087077" w:rsidTr="00087077">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087077">
              <w:trPr>
                <w:tblCellSpacing w:w="0" w:type="dxa"/>
              </w:trPr>
              <w:tc>
                <w:tcPr>
                  <w:tcW w:w="0" w:type="auto"/>
                  <w:vAlign w:val="center"/>
                  <w:hideMark/>
                </w:tcPr>
                <w:p w:rsidR="00087077" w:rsidRDefault="00087077">
                  <w:pPr>
                    <w:spacing w:line="276" w:lineRule="auto"/>
                    <w:rPr>
                      <w:lang w:val="en-GB"/>
                    </w:rPr>
                  </w:pPr>
                  <w:r>
                    <w:rPr>
                      <w:lang w:val="en-GB"/>
                    </w:rPr>
                    <w:t> </w:t>
                  </w:r>
                </w:p>
              </w:tc>
            </w:tr>
          </w:tbl>
          <w:p w:rsidR="00087077" w:rsidRDefault="00087077">
            <w:pPr>
              <w:rPr>
                <w:rFonts w:ascii="Times New Roman" w:eastAsia="Times New Roman" w:hAnsi="Times New Roman"/>
                <w:sz w:val="20"/>
                <w:szCs w:val="20"/>
                <w:lang w:eastAsia="nl-NL"/>
              </w:rPr>
            </w:pPr>
          </w:p>
        </w:tc>
      </w:tr>
    </w:tbl>
    <w:p w:rsidR="00205106" w:rsidRDefault="00205106"/>
    <w:sectPr w:rsidR="00205106" w:rsidSect="0008707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801B4"/>
    <w:multiLevelType w:val="hybridMultilevel"/>
    <w:tmpl w:val="0D4C8E12"/>
    <w:lvl w:ilvl="0" w:tplc="7CB472B6">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B416E76"/>
    <w:multiLevelType w:val="hybridMultilevel"/>
    <w:tmpl w:val="C79ADB14"/>
    <w:lvl w:ilvl="0" w:tplc="7CB472B6">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CBB4448"/>
    <w:multiLevelType w:val="hybridMultilevel"/>
    <w:tmpl w:val="BC466266"/>
    <w:lvl w:ilvl="0" w:tplc="5A58604C">
      <w:start w:val="3"/>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CF6566"/>
    <w:multiLevelType w:val="hybridMultilevel"/>
    <w:tmpl w:val="0756E900"/>
    <w:lvl w:ilvl="0" w:tplc="C94628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77"/>
    <w:rsid w:val="00087077"/>
    <w:rsid w:val="00205106"/>
    <w:rsid w:val="003B7674"/>
    <w:rsid w:val="00B21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BC3CD-3C08-47F7-B41D-B143CB6E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707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87077"/>
    <w:rPr>
      <w:color w:val="0000FF"/>
      <w:u w:val="single"/>
    </w:rPr>
  </w:style>
  <w:style w:type="paragraph" w:styleId="Lijstalinea">
    <w:name w:val="List Paragraph"/>
    <w:basedOn w:val="Standaard"/>
    <w:uiPriority w:val="34"/>
    <w:qFormat/>
    <w:rsid w:val="00087077"/>
    <w:pPr>
      <w:ind w:left="720"/>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C-MIN%282014%296-ENG.pdf" TargetMode="External"/><Relationship Id="rId3" Type="http://schemas.openxmlformats.org/officeDocument/2006/relationships/settings" Target="settings.xml"/><Relationship Id="rId7" Type="http://schemas.openxmlformats.org/officeDocument/2006/relationships/hyperlink" Target="http://www.oecd.org/tax/beps-webcast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CF7359.B382A18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fe-eutax.org" TargetMode="External"/><Relationship Id="rId4" Type="http://schemas.openxmlformats.org/officeDocument/2006/relationships/webSettings" Target="webSettings.xml"/><Relationship Id="rId9" Type="http://schemas.openxmlformats.org/officeDocument/2006/relationships/hyperlink" Target="http://curia.europa.eu/juris/document/document.jsf?text=&amp;docid=152344&amp;pageIndex=0&amp;doclang=EN&amp;mode=lst&amp;dir=&amp;occ=first&amp;part=1&amp;cid=8935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60A6CAB5.dotm</Template>
  <TotalTime>0</TotalTime>
  <Pages>1</Pages>
  <Words>305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2014-07-04T10:28:00Z</dcterms:created>
  <dcterms:modified xsi:type="dcterms:W3CDTF">2014-07-04T10:28:00Z</dcterms:modified>
</cp:coreProperties>
</file>