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60" w:rsidRPr="00BA4A60" w:rsidRDefault="00BA4A60" w:rsidP="00BA4A60">
      <w:pPr>
        <w:rPr>
          <w:b/>
          <w:sz w:val="28"/>
          <w:szCs w:val="28"/>
          <w:lang w:val="en-GB"/>
        </w:rPr>
      </w:pPr>
      <w:bookmarkStart w:id="0" w:name="_GoBack"/>
      <w:r w:rsidRPr="00BA4A60">
        <w:rPr>
          <w:rFonts w:ascii="Tahoma" w:hAnsi="Tahoma" w:cs="Tahoma"/>
          <w:b/>
          <w:sz w:val="28"/>
          <w:szCs w:val="28"/>
          <w:lang w:val="en-GB"/>
        </w:rPr>
        <w:t>CFE´s Tax Top 5: Key tax news of the week, 24 February 2014</w:t>
      </w:r>
    </w:p>
    <w:bookmarkEnd w:id="0"/>
    <w:p w:rsidR="00BA4A60" w:rsidRDefault="00BA4A60" w:rsidP="00BA4A60">
      <w:pPr>
        <w:rPr>
          <w:lang w:val="en-GB"/>
        </w:rPr>
      </w:pPr>
    </w:p>
    <w:tbl>
      <w:tblPr>
        <w:tblW w:w="8265" w:type="dxa"/>
        <w:tblCellSpacing w:w="0" w:type="dxa"/>
        <w:tblCellMar>
          <w:left w:w="0" w:type="dxa"/>
          <w:right w:w="0" w:type="dxa"/>
        </w:tblCellMar>
        <w:tblLook w:val="04A0" w:firstRow="1" w:lastRow="0" w:firstColumn="1" w:lastColumn="0" w:noHBand="0" w:noVBand="1"/>
      </w:tblPr>
      <w:tblGrid>
        <w:gridCol w:w="9052"/>
      </w:tblGrid>
      <w:tr w:rsidR="00BA4A60" w:rsidTr="00BA4A60">
        <w:trPr>
          <w:tblCellSpacing w:w="0" w:type="dxa"/>
        </w:trPr>
        <w:tc>
          <w:tcPr>
            <w:tcW w:w="0" w:type="auto"/>
            <w:tcBorders>
              <w:top w:val="single" w:sz="8" w:space="0" w:color="9C9C9C"/>
              <w:left w:val="single" w:sz="8" w:space="0" w:color="9C9C9C"/>
              <w:bottom w:val="single" w:sz="8" w:space="0" w:color="9C9C9C"/>
              <w:right w:val="single" w:sz="8" w:space="0" w:color="9C9C9C"/>
            </w:tcBorders>
            <w:shd w:val="clear" w:color="auto" w:fill="FFFFFF"/>
            <w:tcMar>
              <w:top w:w="75" w:type="dxa"/>
              <w:left w:w="75" w:type="dxa"/>
              <w:bottom w:w="75" w:type="dxa"/>
              <w:right w:w="75" w:type="dxa"/>
            </w:tcMar>
            <w:vAlign w:val="center"/>
            <w:hideMark/>
          </w:tcPr>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8862"/>
            </w:tblGrid>
            <w:tr w:rsidR="00BA4A60">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193"/>
                    <w:gridCol w:w="69"/>
                  </w:tblGrid>
                  <w:tr w:rsidR="00BA4A60" w:rsidRPr="00BA4A60">
                    <w:trPr>
                      <w:tblCellSpacing w:w="0" w:type="dxa"/>
                    </w:trPr>
                    <w:tc>
                      <w:tcPr>
                        <w:tcW w:w="8205" w:type="dxa"/>
                        <w:vAlign w:val="center"/>
                        <w:hideMark/>
                      </w:tcPr>
                      <w:p w:rsidR="00BA4A60" w:rsidRDefault="00BA4A60">
                        <w:pPr>
                          <w:spacing w:line="276" w:lineRule="auto"/>
                          <w:jc w:val="right"/>
                        </w:pPr>
                        <w:r>
                          <w:rPr>
                            <w:noProof/>
                          </w:rPr>
                          <w:drawing>
                            <wp:inline distT="0" distB="0" distL="0" distR="0">
                              <wp:extent cx="5762625" cy="666750"/>
                              <wp:effectExtent l="0" t="0" r="9525" b="0"/>
                              <wp:docPr id="1" name="Afbeelding 1" descr="Description: cid:image001.jpg@01CF2BDB.420A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jpg@01CF2BDB.420ACC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hideMark/>
                      </w:tcPr>
                      <w:p w:rsidR="00BA4A60" w:rsidRPr="00BA4A60" w:rsidRDefault="00BA4A60">
                        <w:pPr>
                          <w:spacing w:line="276" w:lineRule="auto"/>
                          <w:jc w:val="right"/>
                          <w:rPr>
                            <w:lang w:val="en-GB"/>
                          </w:rPr>
                        </w:pPr>
                        <w:r w:rsidRPr="00BA4A60">
                          <w:rPr>
                            <w:rFonts w:ascii="Arial" w:hAnsi="Arial" w:cs="Arial"/>
                            <w:color w:val="ACABAB"/>
                            <w:sz w:val="27"/>
                            <w:szCs w:val="27"/>
                            <w:lang w:val="en-GB"/>
                          </w:rPr>
                          <w:t> </w:t>
                        </w:r>
                      </w:p>
                      <w:p w:rsidR="00BA4A60" w:rsidRPr="00BA4A60" w:rsidRDefault="00BA4A60">
                        <w:pPr>
                          <w:spacing w:line="276" w:lineRule="auto"/>
                          <w:jc w:val="right"/>
                          <w:rPr>
                            <w:lang w:val="en-GB"/>
                          </w:rPr>
                        </w:pPr>
                        <w:r w:rsidRPr="00BA4A60">
                          <w:rPr>
                            <w:rFonts w:ascii="Arial" w:hAnsi="Arial" w:cs="Arial"/>
                            <w:color w:val="ACABAB"/>
                            <w:sz w:val="27"/>
                            <w:szCs w:val="27"/>
                            <w:lang w:val="en-GB"/>
                          </w:rPr>
                          <w:t> </w:t>
                        </w:r>
                      </w:p>
                    </w:tc>
                  </w:tr>
                </w:tbl>
                <w:p w:rsidR="00BA4A60" w:rsidRPr="00BA4A60" w:rsidRDefault="00BA4A60">
                  <w:pPr>
                    <w:spacing w:line="276" w:lineRule="auto"/>
                    <w:rPr>
                      <w:lang w:val="en-GB"/>
                    </w:rPr>
                  </w:pPr>
                  <w:r w:rsidRPr="00BA4A60">
                    <w:rPr>
                      <w:rFonts w:ascii="Calibri" w:hAnsi="Calibri"/>
                      <w:b/>
                      <w:bCs/>
                      <w:lang w:val="en-GB"/>
                    </w:rPr>
                    <w:t>Fiscal Committee</w:t>
                  </w:r>
                </w:p>
                <w:p w:rsidR="00BA4A60" w:rsidRPr="00BA4A60" w:rsidRDefault="00BA4A60">
                  <w:pPr>
                    <w:spacing w:line="276" w:lineRule="auto"/>
                    <w:jc w:val="right"/>
                    <w:rPr>
                      <w:lang w:val="en-GB"/>
                    </w:rPr>
                  </w:pPr>
                  <w:r w:rsidRPr="00BA4A60">
                    <w:rPr>
                      <w:rFonts w:ascii="Calibri" w:hAnsi="Calibri"/>
                      <w:b/>
                      <w:bCs/>
                      <w:lang w:val="en-GB"/>
                    </w:rPr>
                    <w:t>24 February 2014</w:t>
                  </w:r>
                </w:p>
                <w:p w:rsidR="00BA4A60" w:rsidRPr="00BA4A60" w:rsidRDefault="00BA4A60">
                  <w:pPr>
                    <w:spacing w:line="276" w:lineRule="auto"/>
                    <w:jc w:val="right"/>
                    <w:rPr>
                      <w:lang w:val="en-GB"/>
                    </w:rPr>
                  </w:pPr>
                  <w:r w:rsidRPr="00BA4A60">
                    <w:rPr>
                      <w:rFonts w:ascii="Calibri" w:hAnsi="Calibri"/>
                      <w:b/>
                      <w:bCs/>
                      <w:sz w:val="20"/>
                      <w:szCs w:val="20"/>
                      <w:lang w:val="en-GB"/>
                    </w:rPr>
                    <w:t> </w:t>
                  </w:r>
                </w:p>
                <w:p w:rsidR="00BA4A60" w:rsidRPr="00BA4A60" w:rsidRDefault="00BA4A60">
                  <w:pPr>
                    <w:spacing w:line="276" w:lineRule="auto"/>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b/>
                      <w:bCs/>
                      <w:color w:val="111111"/>
                      <w:sz w:val="20"/>
                      <w:szCs w:val="20"/>
                      <w:lang w:val="en-GB"/>
                    </w:rPr>
                    <w:t xml:space="preserve">1-  </w:t>
                  </w:r>
                  <w:r w:rsidRPr="00BA4A60">
                    <w:rPr>
                      <w:rFonts w:ascii="Calibri" w:hAnsi="Calibri"/>
                      <w:b/>
                      <w:bCs/>
                      <w:sz w:val="20"/>
                      <w:szCs w:val="20"/>
                      <w:lang w:val="en-GB"/>
                    </w:rPr>
                    <w:t>BEPS timetable update</w:t>
                  </w:r>
                </w:p>
                <w:p w:rsidR="00BA4A60" w:rsidRPr="00BA4A60" w:rsidRDefault="00BA4A60">
                  <w:pPr>
                    <w:spacing w:after="75" w:line="276" w:lineRule="auto"/>
                    <w:ind w:right="150"/>
                    <w:jc w:val="both"/>
                    <w:rPr>
                      <w:lang w:val="en-GB"/>
                    </w:rPr>
                  </w:pPr>
                  <w:r w:rsidRPr="00BA4A60">
                    <w:rPr>
                      <w:rFonts w:ascii="Calibri" w:hAnsi="Calibri"/>
                      <w:color w:val="222222"/>
                      <w:sz w:val="20"/>
                      <w:szCs w:val="20"/>
                      <w:lang w:val="en-GB"/>
                    </w:rPr>
                    <w:t> </w:t>
                  </w:r>
                </w:p>
                <w:p w:rsidR="00BA4A60" w:rsidRPr="00BA4A60" w:rsidRDefault="00BA4A60">
                  <w:pPr>
                    <w:rPr>
                      <w:lang w:val="en-GB"/>
                    </w:rPr>
                  </w:pPr>
                  <w:r w:rsidRPr="00BA4A60">
                    <w:rPr>
                      <w:rFonts w:ascii="Calibri" w:hAnsi="Calibri"/>
                      <w:sz w:val="20"/>
                      <w:szCs w:val="20"/>
                      <w:lang w:val="en-GB"/>
                    </w:rPr>
                    <w:t>On 20 February, the OECD has updated its timetable indicating when it intends to deliver the outcomes of its BEPS (base erosion and profit shifting) Action Plan.</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pStyle w:val="Lijstalinea"/>
                    <w:spacing w:after="75" w:line="276" w:lineRule="auto"/>
                    <w:ind w:left="360" w:right="150" w:hanging="360"/>
                    <w:jc w:val="both"/>
                    <w:rPr>
                      <w:lang w:val="en-GB"/>
                    </w:rPr>
                  </w:pPr>
                  <w:r w:rsidRPr="00BA4A60">
                    <w:rPr>
                      <w:rFonts w:ascii="Calibri" w:hAnsi="Calibri"/>
                      <w:sz w:val="20"/>
                      <w:szCs w:val="20"/>
                      <w:lang w:val="en-GB"/>
                    </w:rPr>
                    <w:t xml:space="preserve">·         </w:t>
                  </w:r>
                  <w:hyperlink r:id="rId6" w:history="1">
                    <w:r w:rsidRPr="00BA4A60">
                      <w:rPr>
                        <w:rStyle w:val="Hyperlink"/>
                        <w:rFonts w:ascii="Calibri" w:hAnsi="Calibri"/>
                        <w:sz w:val="20"/>
                        <w:szCs w:val="20"/>
                        <w:lang w:val="en-GB"/>
                      </w:rPr>
                      <w:t>http://www.oecd.org/ctp/calendar-planned-stakeholders-input-2013-2014.pdf</w:t>
                    </w:r>
                  </w:hyperlink>
                  <w:r w:rsidRPr="00BA4A60">
                    <w:rPr>
                      <w:rFonts w:ascii="Calibri" w:hAnsi="Calibri"/>
                      <w:sz w:val="20"/>
                      <w:szCs w:val="20"/>
                      <w:lang w:val="en-GB"/>
                    </w:rPr>
                    <w:t xml:space="preserve"> </w:t>
                  </w:r>
                </w:p>
                <w:p w:rsidR="00BA4A60" w:rsidRPr="00BA4A60" w:rsidRDefault="00BA4A60">
                  <w:pPr>
                    <w:spacing w:after="75" w:line="276" w:lineRule="auto"/>
                    <w:ind w:right="150"/>
                    <w:jc w:val="both"/>
                    <w:rPr>
                      <w:lang w:val="en-GB"/>
                    </w:rPr>
                  </w:pPr>
                  <w:r w:rsidRPr="00BA4A60">
                    <w:rPr>
                      <w:rFonts w:ascii="Calibri" w:hAnsi="Calibri"/>
                      <w:color w:val="222222"/>
                      <w:sz w:val="20"/>
                      <w:szCs w:val="20"/>
                      <w:lang w:val="en-GB"/>
                    </w:rPr>
                    <w:t> </w:t>
                  </w:r>
                </w:p>
                <w:p w:rsidR="00BA4A60" w:rsidRPr="00BA4A60" w:rsidRDefault="00BA4A60">
                  <w:pPr>
                    <w:autoSpaceDE w:val="0"/>
                    <w:autoSpaceDN w:val="0"/>
                    <w:spacing w:line="276" w:lineRule="auto"/>
                    <w:jc w:val="both"/>
                    <w:rPr>
                      <w:lang w:val="en-GB"/>
                    </w:rPr>
                  </w:pPr>
                  <w:r w:rsidRPr="00BA4A60">
                    <w:rPr>
                      <w:rFonts w:ascii="Calibri" w:hAnsi="Calibri"/>
                      <w:b/>
                      <w:bCs/>
                      <w:color w:val="222222"/>
                      <w:sz w:val="20"/>
                      <w:szCs w:val="20"/>
                      <w:lang w:val="en-GB"/>
                    </w:rPr>
                    <w:t>2-  United States´ Inland Revenue Service releases Transfer Pricing Audit Roadmap</w:t>
                  </w:r>
                </w:p>
                <w:p w:rsidR="00BA4A60" w:rsidRPr="00BA4A60" w:rsidRDefault="00BA4A60">
                  <w:pPr>
                    <w:spacing w:after="75" w:line="276" w:lineRule="auto"/>
                    <w:ind w:right="150"/>
                    <w:jc w:val="both"/>
                    <w:rPr>
                      <w:lang w:val="en-GB"/>
                    </w:rPr>
                  </w:pPr>
                  <w:r w:rsidRPr="00BA4A60">
                    <w:rPr>
                      <w:rFonts w:ascii="Calibri" w:hAnsi="Calibri"/>
                      <w:color w:val="000000"/>
                      <w:sz w:val="20"/>
                      <w:szCs w:val="20"/>
                      <w:lang w:val="en-GB"/>
                    </w:rPr>
                    <w:t> </w:t>
                  </w:r>
                </w:p>
                <w:p w:rsidR="00BA4A60" w:rsidRPr="00BA4A60" w:rsidRDefault="00BA4A60">
                  <w:pPr>
                    <w:spacing w:line="276" w:lineRule="auto"/>
                    <w:rPr>
                      <w:lang w:val="en-GB"/>
                    </w:rPr>
                  </w:pPr>
                  <w:r w:rsidRPr="00BA4A60">
                    <w:rPr>
                      <w:rFonts w:ascii="Calibri" w:hAnsi="Calibri"/>
                      <w:sz w:val="20"/>
                      <w:szCs w:val="20"/>
                      <w:lang w:val="en-GB"/>
                    </w:rPr>
                    <w:t xml:space="preserve">The document has been designed as a practical toolkit to provide transfer pricing practitioners with </w:t>
                  </w:r>
                </w:p>
                <w:p w:rsidR="00BA4A60" w:rsidRPr="00BA4A60" w:rsidRDefault="00BA4A60">
                  <w:pPr>
                    <w:spacing w:after="240"/>
                    <w:rPr>
                      <w:lang w:val="en-GB"/>
                    </w:rPr>
                  </w:pPr>
                  <w:r w:rsidRPr="00BA4A60">
                    <w:rPr>
                      <w:rFonts w:ascii="Calibri" w:hAnsi="Calibri"/>
                      <w:sz w:val="20"/>
                      <w:szCs w:val="20"/>
                      <w:lang w:val="en-GB"/>
                    </w:rPr>
                    <w:t>audit techniques and tools to assist with the planning, execution and resolution of transfer pricing examinations.</w:t>
                  </w:r>
                </w:p>
                <w:p w:rsidR="00BA4A60" w:rsidRPr="00BA4A60" w:rsidRDefault="00BA4A60">
                  <w:pPr>
                    <w:pStyle w:val="Lijstalinea"/>
                    <w:spacing w:line="276" w:lineRule="auto"/>
                    <w:ind w:left="360" w:hanging="360"/>
                    <w:rPr>
                      <w:lang w:val="en-GB"/>
                    </w:rPr>
                  </w:pPr>
                  <w:r w:rsidRPr="00BA4A60">
                    <w:rPr>
                      <w:rFonts w:ascii="Calibri" w:hAnsi="Calibri"/>
                      <w:sz w:val="20"/>
                      <w:szCs w:val="20"/>
                      <w:lang w:val="en-GB"/>
                    </w:rPr>
                    <w:t xml:space="preserve">·         </w:t>
                  </w:r>
                  <w:hyperlink r:id="rId7" w:tgtFrame="_blank" w:history="1">
                    <w:r w:rsidRPr="00BA4A60">
                      <w:rPr>
                        <w:rStyle w:val="Hyperlink"/>
                        <w:rFonts w:ascii="Calibri" w:hAnsi="Calibri"/>
                        <w:sz w:val="20"/>
                        <w:szCs w:val="20"/>
                        <w:lang w:val="en-GB"/>
                      </w:rPr>
                      <w:t>http://www.irs.gov/pub/irs-utl/FinalTrfPrcRoadMap.pdf</w:t>
                    </w:r>
                  </w:hyperlink>
                  <w:r w:rsidRPr="00BA4A60">
                    <w:rPr>
                      <w:rFonts w:ascii="Calibri" w:hAnsi="Calibri"/>
                      <w:sz w:val="20"/>
                      <w:szCs w:val="20"/>
                      <w:lang w:val="en-GB"/>
                    </w:rPr>
                    <w:t xml:space="preserve"> </w:t>
                  </w:r>
                </w:p>
                <w:p w:rsidR="00BA4A60" w:rsidRPr="00BA4A60" w:rsidRDefault="00BA4A60">
                  <w:pPr>
                    <w:pStyle w:val="Lijstalinea"/>
                    <w:spacing w:line="276" w:lineRule="auto"/>
                    <w:ind w:hanging="360"/>
                    <w:rPr>
                      <w:lang w:val="en-GB"/>
                    </w:rPr>
                  </w:pPr>
                  <w:r w:rsidRPr="00BA4A60">
                    <w:rPr>
                      <w:rFonts w:ascii="Calibri" w:hAnsi="Calibri"/>
                      <w:sz w:val="20"/>
                      <w:szCs w:val="20"/>
                      <w:lang w:val="en-GB"/>
                    </w:rPr>
                    <w:t> </w:t>
                  </w:r>
                </w:p>
                <w:p w:rsidR="00BA4A60" w:rsidRPr="00BA4A60" w:rsidRDefault="00BA4A60">
                  <w:pPr>
                    <w:spacing w:after="75" w:line="276" w:lineRule="auto"/>
                    <w:ind w:right="150"/>
                    <w:jc w:val="both"/>
                    <w:rPr>
                      <w:lang w:val="en-GB"/>
                    </w:rPr>
                  </w:pPr>
                  <w:r w:rsidRPr="00BA4A60">
                    <w:rPr>
                      <w:rFonts w:ascii="Calibri" w:hAnsi="Calibri"/>
                      <w:b/>
                      <w:bCs/>
                      <w:color w:val="222222"/>
                      <w:sz w:val="20"/>
                      <w:szCs w:val="20"/>
                      <w:lang w:val="en-GB"/>
                    </w:rPr>
                    <w:t>3-  Anti Money Laundering: EP Committees vote for public registers on beneficial owners</w:t>
                  </w:r>
                </w:p>
                <w:p w:rsidR="00BA4A60" w:rsidRPr="00BA4A60" w:rsidRDefault="00BA4A60">
                  <w:pPr>
                    <w:spacing w:line="276" w:lineRule="auto"/>
                    <w:jc w:val="both"/>
                    <w:rPr>
                      <w:lang w:val="en-GB"/>
                    </w:rPr>
                  </w:pPr>
                  <w:r w:rsidRPr="00BA4A60">
                    <w:rPr>
                      <w:rFonts w:ascii="Calibri" w:hAnsi="Calibri"/>
                      <w:color w:val="222222"/>
                      <w:sz w:val="20"/>
                      <w:szCs w:val="20"/>
                      <w:lang w:val="en-GB"/>
                    </w:rPr>
                    <w:t> </w:t>
                  </w:r>
                </w:p>
                <w:p w:rsidR="00BA4A60" w:rsidRPr="00BA4A60" w:rsidRDefault="00BA4A60">
                  <w:pPr>
                    <w:spacing w:line="276" w:lineRule="auto"/>
                    <w:jc w:val="both"/>
                    <w:rPr>
                      <w:lang w:val="en-GB"/>
                    </w:rPr>
                  </w:pPr>
                  <w:r w:rsidRPr="00BA4A60">
                    <w:rPr>
                      <w:rFonts w:ascii="Calibri" w:hAnsi="Calibri"/>
                      <w:color w:val="222222"/>
                      <w:sz w:val="20"/>
                      <w:szCs w:val="20"/>
                      <w:lang w:val="en-GB"/>
                    </w:rPr>
                    <w:t>On 20 February 2014, the ECON and LIBE Committees of the European Parliament voted on the proposal for a 4</w:t>
                  </w:r>
                  <w:r w:rsidRPr="00BA4A60">
                    <w:rPr>
                      <w:rFonts w:ascii="Calibri" w:hAnsi="Calibri"/>
                      <w:color w:val="222222"/>
                      <w:sz w:val="20"/>
                      <w:szCs w:val="20"/>
                      <w:vertAlign w:val="superscript"/>
                      <w:lang w:val="en-GB"/>
                    </w:rPr>
                    <w:t>th</w:t>
                  </w:r>
                  <w:r w:rsidRPr="00BA4A60">
                    <w:rPr>
                      <w:rFonts w:ascii="Calibri" w:hAnsi="Calibri"/>
                      <w:color w:val="222222"/>
                      <w:sz w:val="20"/>
                      <w:szCs w:val="20"/>
                      <w:lang w:val="en-GB"/>
                    </w:rPr>
                    <w:t xml:space="preserve"> Anti Money Laundering Directive. MEPs favoured the introduction of public registers of ultimate beneficial owners of companies, foundations and trusts established in the EU. A consolidated version of the voted text is not yet available. The EP plenary will vote on the proposal in March.</w:t>
                  </w:r>
                </w:p>
                <w:p w:rsidR="00BA4A60" w:rsidRPr="00BA4A60" w:rsidRDefault="00BA4A60">
                  <w:pPr>
                    <w:spacing w:line="276" w:lineRule="auto"/>
                    <w:jc w:val="both"/>
                    <w:rPr>
                      <w:lang w:val="en-GB"/>
                    </w:rPr>
                  </w:pPr>
                  <w:r w:rsidRPr="00BA4A60">
                    <w:rPr>
                      <w:rFonts w:ascii="Calibri" w:hAnsi="Calibri"/>
                      <w:color w:val="222222"/>
                      <w:sz w:val="20"/>
                      <w:szCs w:val="20"/>
                      <w:lang w:val="en-GB"/>
                    </w:rPr>
                    <w:t> </w:t>
                  </w:r>
                </w:p>
                <w:p w:rsidR="00BA4A60" w:rsidRPr="00BA4A60" w:rsidRDefault="00BA4A60">
                  <w:pPr>
                    <w:spacing w:line="276" w:lineRule="auto"/>
                    <w:rPr>
                      <w:lang w:val="en-GB"/>
                    </w:rPr>
                  </w:pPr>
                  <w:r w:rsidRPr="00BA4A60">
                    <w:rPr>
                      <w:rFonts w:ascii="Calibri" w:hAnsi="Calibri"/>
                      <w:color w:val="222222"/>
                      <w:sz w:val="20"/>
                      <w:szCs w:val="20"/>
                      <w:lang w:val="en-GB"/>
                    </w:rPr>
                    <w:t xml:space="preserve">- EP press release: </w:t>
                  </w:r>
                  <w:hyperlink r:id="rId8" w:history="1">
                    <w:r w:rsidRPr="00BA4A60">
                      <w:rPr>
                        <w:rStyle w:val="Hyperlink"/>
                        <w:rFonts w:ascii="Calibri" w:hAnsi="Calibri"/>
                        <w:sz w:val="20"/>
                        <w:szCs w:val="20"/>
                        <w:lang w:val="en-GB"/>
                      </w:rPr>
                      <w:t>http://www.europarl.europa.eu/news/de/news-room/content/20140210IPR35562/html/Money-laundering-MEPs-vote-to-end-anonymity-of-owners-of-companies-and-trusts</w:t>
                    </w:r>
                  </w:hyperlink>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b/>
                      <w:bCs/>
                      <w:sz w:val="20"/>
                      <w:szCs w:val="20"/>
                      <w:lang w:val="en-GB"/>
                    </w:rPr>
                    <w:t>4-  Commission further pursues two infringement cases against Luxembourg, in VAT and reinvestment of property income</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sz w:val="20"/>
                      <w:szCs w:val="20"/>
                      <w:lang w:val="en-GB"/>
                    </w:rPr>
                    <w:t xml:space="preserve">On 20 February 2014, the European Commission has decided to take Luxembourg to the European Court of Justice concerning the country’s VAT regime applicable to independent groups of persons. As the Commission explains, in order to be exempt from VAT, the services provided by an independent </w:t>
                  </w:r>
                  <w:r w:rsidRPr="00BA4A60">
                    <w:rPr>
                      <w:rFonts w:ascii="Calibri" w:hAnsi="Calibri"/>
                      <w:sz w:val="20"/>
                      <w:szCs w:val="20"/>
                      <w:lang w:val="en-GB"/>
                    </w:rPr>
                    <w:lastRenderedPageBreak/>
                    <w:t>group to its members must be directly required for their non-taxable or exempt activities, a condition which the Luxembourg rule providing for a ceiling for taxed operations does not fulfil.</w:t>
                  </w:r>
                </w:p>
                <w:p w:rsidR="00BA4A60" w:rsidRPr="00BA4A60" w:rsidRDefault="00BA4A60">
                  <w:pPr>
                    <w:spacing w:line="276" w:lineRule="auto"/>
                    <w:jc w:val="both"/>
                    <w:rPr>
                      <w:lang w:val="en-GB"/>
                    </w:rPr>
                  </w:pPr>
                  <w:r w:rsidRPr="00BA4A60">
                    <w:rPr>
                      <w:rFonts w:ascii="Calibri" w:hAnsi="Calibri"/>
                      <w:sz w:val="20"/>
                      <w:szCs w:val="20"/>
                      <w:lang w:val="en-GB"/>
                    </w:rPr>
                    <w:t>Another case concerns the country´s discriminatory tax treatment of taxpayers who reinvest property income in another EU/EEA country. The Commission has issued a reasoned opinion, giving Luxembourg two months to react.</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pStyle w:val="Lijstalinea"/>
                    <w:spacing w:line="276" w:lineRule="auto"/>
                    <w:ind w:hanging="360"/>
                    <w:jc w:val="both"/>
                    <w:rPr>
                      <w:lang w:val="en-GB"/>
                    </w:rPr>
                  </w:pPr>
                  <w:r w:rsidRPr="00BA4A60">
                    <w:rPr>
                      <w:rFonts w:ascii="Calibri" w:hAnsi="Calibri"/>
                      <w:lang w:val="en-GB"/>
                    </w:rPr>
                    <w:t>-</w:t>
                  </w:r>
                  <w:r w:rsidRPr="00BA4A60">
                    <w:rPr>
                      <w:sz w:val="14"/>
                      <w:szCs w:val="14"/>
                      <w:lang w:val="en-GB"/>
                    </w:rPr>
                    <w:t xml:space="preserve">          </w:t>
                  </w:r>
                  <w:r w:rsidRPr="00BA4A60">
                    <w:rPr>
                      <w:rFonts w:ascii="Calibri" w:hAnsi="Calibri"/>
                      <w:sz w:val="20"/>
                      <w:szCs w:val="20"/>
                      <w:lang w:val="en-GB"/>
                    </w:rPr>
                    <w:t xml:space="preserve">February infringement package: </w:t>
                  </w:r>
                  <w:hyperlink r:id="rId9" w:history="1">
                    <w:r w:rsidRPr="00BA4A60">
                      <w:rPr>
                        <w:rStyle w:val="Hyperlink"/>
                        <w:rFonts w:ascii="Calibri" w:hAnsi="Calibri"/>
                        <w:sz w:val="20"/>
                        <w:szCs w:val="20"/>
                        <w:lang w:val="en-GB"/>
                      </w:rPr>
                      <w:t>http://europa.eu/rapid/press-release_MEMO-14-116_en.htm</w:t>
                    </w:r>
                  </w:hyperlink>
                  <w:r w:rsidRPr="00BA4A60">
                    <w:rPr>
                      <w:rFonts w:ascii="Calibri" w:hAnsi="Calibri"/>
                      <w:sz w:val="20"/>
                      <w:szCs w:val="20"/>
                      <w:lang w:val="en-GB"/>
                    </w:rPr>
                    <w:t xml:space="preserve"> </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b/>
                      <w:bCs/>
                      <w:sz w:val="20"/>
                      <w:szCs w:val="20"/>
                      <w:lang w:val="en-GB"/>
                    </w:rPr>
                    <w:t>5- OECD publishes comments received on technical changes to Model Convention</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both"/>
                    <w:rPr>
                      <w:lang w:val="en-GB"/>
                    </w:rPr>
                  </w:pPr>
                  <w:r w:rsidRPr="00BA4A60">
                    <w:rPr>
                      <w:rFonts w:ascii="Calibri" w:hAnsi="Calibri"/>
                      <w:sz w:val="20"/>
                      <w:szCs w:val="20"/>
                      <w:lang w:val="en-GB"/>
                    </w:rPr>
                    <w:t>The OECD has published the comments received on a discussion draft on technical changes to be included in the next update to the Model Tax Convention. The consultation ended on 15 January 2014.</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pStyle w:val="Lijstalinea"/>
                    <w:spacing w:line="276" w:lineRule="auto"/>
                    <w:ind w:hanging="360"/>
                    <w:jc w:val="both"/>
                    <w:rPr>
                      <w:lang w:val="en-GB"/>
                    </w:rPr>
                  </w:pPr>
                  <w:r w:rsidRPr="00BA4A60">
                    <w:rPr>
                      <w:rFonts w:ascii="Calibri" w:hAnsi="Calibri"/>
                      <w:lang w:val="en-GB"/>
                    </w:rPr>
                    <w:t>-</w:t>
                  </w:r>
                  <w:r w:rsidRPr="00BA4A60">
                    <w:rPr>
                      <w:sz w:val="14"/>
                      <w:szCs w:val="14"/>
                      <w:lang w:val="en-GB"/>
                    </w:rPr>
                    <w:t xml:space="preserve">          </w:t>
                  </w:r>
                  <w:hyperlink r:id="rId10" w:history="1">
                    <w:r w:rsidRPr="00BA4A60">
                      <w:rPr>
                        <w:rStyle w:val="Hyperlink"/>
                        <w:rFonts w:ascii="Calibri" w:hAnsi="Calibri"/>
                        <w:sz w:val="20"/>
                        <w:szCs w:val="20"/>
                        <w:lang w:val="en-GB"/>
                      </w:rPr>
                      <w:t>http://www.oecd.org/tax/treaties/oecd-publishes-comments-on-technical-changes-proposed-for-inclusion-in-2014-update-to-oecd-model-tax-convention.htm</w:t>
                    </w:r>
                  </w:hyperlink>
                  <w:r w:rsidRPr="00BA4A60">
                    <w:rPr>
                      <w:rFonts w:ascii="Calibri" w:hAnsi="Calibri"/>
                      <w:sz w:val="20"/>
                      <w:szCs w:val="20"/>
                      <w:lang w:val="en-GB"/>
                    </w:rPr>
                    <w:t xml:space="preserve"> </w:t>
                  </w:r>
                </w:p>
                <w:p w:rsidR="00BA4A60" w:rsidRPr="00BA4A60" w:rsidRDefault="00BA4A60">
                  <w:pPr>
                    <w:shd w:val="clear" w:color="auto" w:fill="F9F9F9"/>
                    <w:spacing w:after="75" w:line="276" w:lineRule="auto"/>
                    <w:ind w:right="150"/>
                    <w:rPr>
                      <w:lang w:val="en-GB"/>
                    </w:rPr>
                  </w:pPr>
                  <w:r w:rsidRPr="00BA4A60">
                    <w:rPr>
                      <w:rFonts w:ascii="Calibri" w:hAnsi="Calibri"/>
                      <w:b/>
                      <w:bCs/>
                      <w:color w:val="222222"/>
                      <w:sz w:val="20"/>
                      <w:szCs w:val="20"/>
                      <w:lang w:val="en-GB"/>
                    </w:rPr>
                    <w:t> </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spacing w:line="276" w:lineRule="auto"/>
                    <w:jc w:val="center"/>
                    <w:rPr>
                      <w:lang w:val="en-GB"/>
                    </w:rPr>
                  </w:pPr>
                  <w:r w:rsidRPr="00BA4A60">
                    <w:rPr>
                      <w:rFonts w:ascii="Calibri" w:hAnsi="Calibri"/>
                      <w:sz w:val="20"/>
                      <w:szCs w:val="20"/>
                      <w:lang w:val="en-GB"/>
                    </w:rPr>
                    <w:t>*****</w:t>
                  </w:r>
                </w:p>
                <w:p w:rsidR="00BA4A60" w:rsidRPr="00BA4A60" w:rsidRDefault="00BA4A60">
                  <w:pPr>
                    <w:spacing w:line="276" w:lineRule="auto"/>
                    <w:jc w:val="both"/>
                    <w:rPr>
                      <w:lang w:val="en-GB"/>
                    </w:rPr>
                  </w:pPr>
                  <w:r w:rsidRPr="00BA4A60">
                    <w:rPr>
                      <w:rFonts w:ascii="Calibri" w:hAnsi="Calibri"/>
                      <w:sz w:val="20"/>
                      <w:szCs w:val="20"/>
                      <w:lang w:val="en-GB"/>
                    </w:rPr>
                    <w:t> </w:t>
                  </w:r>
                </w:p>
                <w:p w:rsidR="00BA4A60" w:rsidRPr="00BA4A60" w:rsidRDefault="00BA4A60">
                  <w:pPr>
                    <w:pStyle w:val="Lijstalinea"/>
                    <w:spacing w:line="276" w:lineRule="auto"/>
                    <w:ind w:left="126"/>
                    <w:jc w:val="center"/>
                    <w:rPr>
                      <w:lang w:val="en-GB"/>
                    </w:rPr>
                  </w:pPr>
                  <w:r w:rsidRPr="00BA4A60">
                    <w:rPr>
                      <w:rFonts w:ascii="Calibri" w:hAnsi="Calibri"/>
                      <w:i/>
                      <w:iCs/>
                      <w:sz w:val="20"/>
                      <w:szCs w:val="20"/>
                      <w:lang w:val="en-GB"/>
                    </w:rPr>
                    <w:t xml:space="preserve">The selection of the remitted material has been prepared by </w:t>
                  </w:r>
                  <w:proofErr w:type="spellStart"/>
                  <w:r w:rsidRPr="00BA4A60">
                    <w:rPr>
                      <w:rFonts w:ascii="Calibri" w:hAnsi="Calibri"/>
                      <w:i/>
                      <w:iCs/>
                      <w:sz w:val="20"/>
                      <w:szCs w:val="20"/>
                      <w:lang w:val="en-GB"/>
                    </w:rPr>
                    <w:t>Piergiorgio</w:t>
                  </w:r>
                  <w:proofErr w:type="spellEnd"/>
                  <w:r w:rsidRPr="00BA4A60">
                    <w:rPr>
                      <w:rFonts w:ascii="Calibri" w:hAnsi="Calibri"/>
                      <w:i/>
                      <w:iCs/>
                      <w:sz w:val="20"/>
                      <w:szCs w:val="20"/>
                      <w:lang w:val="en-GB"/>
                    </w:rPr>
                    <w:t xml:space="preserve"> Valente / </w:t>
                  </w:r>
                  <w:proofErr w:type="spellStart"/>
                  <w:r w:rsidRPr="00BA4A60">
                    <w:rPr>
                      <w:rFonts w:ascii="Calibri" w:hAnsi="Calibri"/>
                      <w:i/>
                      <w:iCs/>
                      <w:sz w:val="20"/>
                      <w:szCs w:val="20"/>
                      <w:lang w:val="en-GB"/>
                    </w:rPr>
                    <w:t>Filipa</w:t>
                  </w:r>
                  <w:proofErr w:type="spellEnd"/>
                  <w:r w:rsidRPr="00BA4A60">
                    <w:rPr>
                      <w:rFonts w:ascii="Calibri" w:hAnsi="Calibri"/>
                      <w:i/>
                      <w:iCs/>
                      <w:sz w:val="20"/>
                      <w:szCs w:val="20"/>
                      <w:lang w:val="en-GB"/>
                    </w:rPr>
                    <w:t xml:space="preserve"> </w:t>
                  </w:r>
                  <w:proofErr w:type="spellStart"/>
                  <w:r w:rsidRPr="00BA4A60">
                    <w:rPr>
                      <w:rFonts w:ascii="Calibri" w:hAnsi="Calibri"/>
                      <w:i/>
                      <w:iCs/>
                      <w:sz w:val="20"/>
                      <w:szCs w:val="20"/>
                      <w:lang w:val="en-GB"/>
                    </w:rPr>
                    <w:t>Correia</w:t>
                  </w:r>
                  <w:proofErr w:type="spellEnd"/>
                  <w:r w:rsidRPr="00BA4A60">
                    <w:rPr>
                      <w:rFonts w:ascii="Calibri" w:hAnsi="Calibri"/>
                      <w:i/>
                      <w:iCs/>
                      <w:sz w:val="20"/>
                      <w:szCs w:val="20"/>
                      <w:lang w:val="en-GB"/>
                    </w:rPr>
                    <w:t xml:space="preserve"> / Rudolf </w:t>
                  </w:r>
                  <w:proofErr w:type="spellStart"/>
                  <w:r w:rsidRPr="00BA4A60">
                    <w:rPr>
                      <w:rFonts w:ascii="Calibri" w:hAnsi="Calibri"/>
                      <w:i/>
                      <w:iCs/>
                      <w:sz w:val="20"/>
                      <w:szCs w:val="20"/>
                      <w:lang w:val="en-GB"/>
                    </w:rPr>
                    <w:t>Reibel</w:t>
                  </w:r>
                  <w:proofErr w:type="spellEnd"/>
                  <w:r w:rsidRPr="00BA4A60">
                    <w:rPr>
                      <w:rFonts w:ascii="Calibri" w:hAnsi="Calibri"/>
                      <w:i/>
                      <w:iCs/>
                      <w:sz w:val="20"/>
                      <w:szCs w:val="20"/>
                      <w:lang w:val="en-GB"/>
                    </w:rPr>
                    <w:t xml:space="preserve"> </w:t>
                  </w:r>
                </w:p>
                <w:p w:rsidR="00BA4A60" w:rsidRPr="00BA4A60" w:rsidRDefault="00BA4A60">
                  <w:pPr>
                    <w:pStyle w:val="Lijstalinea"/>
                    <w:spacing w:line="276" w:lineRule="auto"/>
                    <w:ind w:left="126"/>
                    <w:jc w:val="center"/>
                    <w:rPr>
                      <w:lang w:val="en-GB"/>
                    </w:rPr>
                  </w:pPr>
                  <w:r w:rsidRPr="00BA4A60">
                    <w:rPr>
                      <w:i/>
                      <w:iCs/>
                      <w:sz w:val="20"/>
                      <w:szCs w:val="20"/>
                      <w:lang w:val="en-GB"/>
                    </w:rPr>
                    <w:t> </w:t>
                  </w:r>
                </w:p>
                <w:p w:rsidR="00BA4A60" w:rsidRDefault="00BA4A60">
                  <w:pPr>
                    <w:pStyle w:val="Lijstalinea"/>
                    <w:spacing w:line="276" w:lineRule="auto"/>
                    <w:ind w:left="126"/>
                    <w:jc w:val="center"/>
                  </w:pPr>
                  <w:hyperlink r:id="rId11" w:history="1">
                    <w:r>
                      <w:rPr>
                        <w:rStyle w:val="Hyperlink"/>
                        <w:rFonts w:ascii="Calibri" w:hAnsi="Calibri"/>
                        <w:i/>
                        <w:iCs/>
                        <w:sz w:val="20"/>
                        <w:szCs w:val="20"/>
                      </w:rPr>
                      <w:t>www.cfe-eutax.org</w:t>
                    </w:r>
                  </w:hyperlink>
                  <w:r>
                    <w:rPr>
                      <w:rFonts w:ascii="Calibri" w:hAnsi="Calibri"/>
                      <w:i/>
                      <w:iCs/>
                      <w:sz w:val="20"/>
                      <w:szCs w:val="20"/>
                    </w:rPr>
                    <w:t xml:space="preserve"> </w:t>
                  </w:r>
                </w:p>
              </w:tc>
            </w:tr>
            <w:tr w:rsidR="00BA4A60">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60"/>
                  </w:tblGrid>
                  <w:tr w:rsidR="00BA4A60">
                    <w:trPr>
                      <w:tblCellSpacing w:w="0" w:type="dxa"/>
                    </w:trPr>
                    <w:tc>
                      <w:tcPr>
                        <w:tcW w:w="0" w:type="auto"/>
                        <w:vAlign w:val="center"/>
                        <w:hideMark/>
                      </w:tcPr>
                      <w:p w:rsidR="00BA4A60" w:rsidRDefault="00BA4A60">
                        <w:pPr>
                          <w:spacing w:line="276" w:lineRule="auto"/>
                        </w:pPr>
                        <w:r>
                          <w:lastRenderedPageBreak/>
                          <w:t> </w:t>
                        </w:r>
                      </w:p>
                    </w:tc>
                  </w:tr>
                </w:tbl>
                <w:p w:rsidR="00BA4A60" w:rsidRDefault="00BA4A60">
                  <w:pPr>
                    <w:rPr>
                      <w:rFonts w:eastAsia="Times New Roman"/>
                      <w:sz w:val="20"/>
                      <w:szCs w:val="20"/>
                    </w:rPr>
                  </w:pPr>
                </w:p>
              </w:tc>
            </w:tr>
          </w:tbl>
          <w:p w:rsidR="00BA4A60" w:rsidRDefault="00BA4A60">
            <w:pPr>
              <w:rPr>
                <w:rFonts w:eastAsia="Times New Roman"/>
                <w:sz w:val="20"/>
                <w:szCs w:val="20"/>
              </w:rPr>
            </w:pPr>
          </w:p>
        </w:tc>
      </w:tr>
    </w:tbl>
    <w:p w:rsidR="00205106" w:rsidRDefault="00205106"/>
    <w:sectPr w:rsidR="00205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A60"/>
    <w:rsid w:val="00205106"/>
    <w:rsid w:val="003B7674"/>
    <w:rsid w:val="00B21468"/>
    <w:rsid w:val="00BA4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17BA9-3859-48BF-A9A2-2C63B0A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4A6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A4A60"/>
    <w:rPr>
      <w:color w:val="0000FF"/>
      <w:u w:val="single"/>
    </w:rPr>
  </w:style>
  <w:style w:type="paragraph" w:styleId="Lijstalinea">
    <w:name w:val="List Paragraph"/>
    <w:basedOn w:val="Standaard"/>
    <w:uiPriority w:val="34"/>
    <w:qFormat/>
    <w:rsid w:val="00BA4A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0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news/de/news-room/content/20140210IPR35562/html/Money-laundering-MEPs-vote-to-end-anonymity-of-owners-of-companies-and-trus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rs.gov/pub/irs-utl/FinalTrfPrcRoadMap.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cd.org/ctp/calendar-planned-stakeholders-input-2013-2014.pdf" TargetMode="External"/><Relationship Id="rId11" Type="http://schemas.openxmlformats.org/officeDocument/2006/relationships/hyperlink" Target="http://www.cfe-eutax.org" TargetMode="External"/><Relationship Id="rId5" Type="http://schemas.openxmlformats.org/officeDocument/2006/relationships/image" Target="cid:image001.jpg@01CF33B5.512637B0" TargetMode="External"/><Relationship Id="rId10" Type="http://schemas.openxmlformats.org/officeDocument/2006/relationships/hyperlink" Target="http://www.oecd.org/tax/treaties/oecd-publishes-comments-on-technical-changes-proposed-for-inclusion-in-2014-update-to-oecd-model-tax-convention.htm" TargetMode="External"/><Relationship Id="rId4" Type="http://schemas.openxmlformats.org/officeDocument/2006/relationships/image" Target="media/image1.jpeg"/><Relationship Id="rId9" Type="http://schemas.openxmlformats.org/officeDocument/2006/relationships/hyperlink" Target="http://europa.eu/rapid/press-release_MEMO-14-116_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D1ED2124.dotm</Template>
  <TotalTime>5</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1</cp:revision>
  <dcterms:created xsi:type="dcterms:W3CDTF">2014-02-28T10:10:00Z</dcterms:created>
  <dcterms:modified xsi:type="dcterms:W3CDTF">2014-02-28T10:15:00Z</dcterms:modified>
</cp:coreProperties>
</file>